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威海昊阳集团有限责任公司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生产工艺流程：初步设计，制定工作计划→详细设计，形成工艺文件→实验验证→确定工艺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1.工艺流程：初步设计，制定工作计划→详细设计，形成工艺文件→实验验证→确定工艺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配备研发人员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中级注册安全工程师  房明   管理号20201104637000003824  发证单位：人力资源和社会保障部、应急管理部2020.11.15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化工工程工程师 王晓明 证书号：威170830300073  发证单位：荣成市工程技术职务资格中级评审委员会2018.4.23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低压电工 赵卫星 T140311198911183315 有效期：2020-7-13至2026-7-12发证：威海市应急管理局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特种设备检验检测人员 梁晓耀 371002199307277812 取证日期：2020年12月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电力工程师  闫涛  鲁191000337300011 评审时期：2019年11月20号 发证单位：山东省专业技术人员管理服务平台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配备了相关的设备设施（热电偶、全自动压力测试机等；电脑、打印机等）；财务提供资金支持；综合部提供市场信息与客户反馈信息。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提供设计流程，相关的控制程序与记录。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2"/>
              <w:gridCol w:w="2143"/>
              <w:gridCol w:w="45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重要环境因素</w:t>
                  </w:r>
                </w:p>
              </w:tc>
              <w:tc>
                <w:tcPr>
                  <w:tcW w:w="24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537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固体废弃物的排放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53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t>建立废弃物处理控制程序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、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t>加强与客户的沟通与配合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、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t>加强员工教育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潜在火灾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537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执行</w:t>
                  </w: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环</w:t>
                  </w:r>
                  <w:r>
                    <w:rPr>
                      <w:rFonts w:hint="eastAsia" w:ascii="宋体" w:hAnsi="宋体"/>
                      <w:sz w:val="24"/>
                      <w:szCs w:val="24"/>
                      <w:lang w:eastAsia="zh-CN"/>
                    </w:rPr>
                    <w:t>境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管理管理方案</w:t>
                  </w:r>
                  <w:r>
                    <w:rPr>
                      <w:rFonts w:hint="eastAsia" w:ascii="宋体" w:hAnsi="宋体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建立火灾应急预案</w:t>
                  </w:r>
                  <w:r>
                    <w:rPr>
                      <w:rFonts w:hint="eastAsia" w:ascii="宋体" w:hAnsi="宋体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加强员工教育</w:t>
                  </w:r>
                </w:p>
              </w:tc>
            </w:tr>
          </w:tbl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tbl>
            <w:tblPr>
              <w:tblStyle w:val="6"/>
              <w:tblW w:w="499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9"/>
              <w:gridCol w:w="2125"/>
              <w:gridCol w:w="45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7" w:type="pct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1296" w:type="pct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2776" w:type="pc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7" w:type="pc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潜在火灾</w:t>
                  </w:r>
                </w:p>
              </w:tc>
              <w:tc>
                <w:tcPr>
                  <w:tcW w:w="1296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烧伤、灼伤</w:t>
                  </w:r>
                </w:p>
              </w:tc>
              <w:tc>
                <w:tcPr>
                  <w:tcW w:w="2776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消防设施、日常检查、定期检测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7" w:type="pc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触  电</w:t>
                  </w:r>
                </w:p>
              </w:tc>
              <w:tc>
                <w:tcPr>
                  <w:tcW w:w="1296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火灾、人身事故</w:t>
                  </w:r>
                </w:p>
              </w:tc>
              <w:tc>
                <w:tcPr>
                  <w:tcW w:w="2776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做好接地、接零、漏电、绝缘、防火</w:t>
                  </w:r>
                </w:p>
              </w:tc>
            </w:tr>
          </w:tbl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1、GB/T 12712-1991  蒸汽供热系统凝结水回收及蒸汽疏水阀技术管理要求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2、GB/T 39775-2021  能源管理绩效评价导则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3、JG/T 299-2010 供冷供热用蓄能设备技术条件</w:t>
            </w:r>
          </w:p>
          <w:p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4、GB/T 37572-2019 热交换器用铜及铜合金带材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2021.5.9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2021.5.9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BD3D23"/>
    <w:rsid w:val="782F1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toc 3"/>
    <w:basedOn w:val="1"/>
    <w:next w:val="1"/>
    <w:qFormat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No Spacing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2021-05-18T02:45:50Z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45C80A692E6041F18B4E88BE69325A4A</vt:lpwstr>
  </property>
</Properties>
</file>