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威海昊阳集团有限责任公司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0407-2021-QEO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房明</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18389116105</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haoyang@haoyanggroup.cn</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r>
              <w:rPr>
                <w:rFonts w:hint="eastAsia"/>
                <w:color w:val="000000"/>
                <w:sz w:val="24"/>
                <w:szCs w:val="24"/>
                <w:lang w:val="en-US" w:eastAsia="zh-CN"/>
              </w:rPr>
              <w:t xml:space="preserve">王锴硕 </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Q：能源科技、节能环保科技领域内的技术开发</w:t>
            </w:r>
          </w:p>
          <w:p>
            <w:r>
              <w:t>E：能源科技、节能环保科技领域内的技术开发所涉及场所的相关环境管理活动</w:t>
            </w:r>
            <w:bookmarkStart w:id="14" w:name="_GoBack"/>
            <w:bookmarkEnd w:id="14"/>
          </w:p>
          <w:p>
            <w:r>
              <w:t>O：能源科技、节能环保科技领域内的技术开发所涉及场所的相关职业健康安全管理活动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Q：34.06.00</w:t>
            </w:r>
          </w:p>
          <w:p>
            <w:r>
              <w:t>E：34.06.00</w:t>
            </w:r>
          </w:p>
          <w:p>
            <w:r>
              <w:t>O：34.06.00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2021年05月07日 上午至2021年05月07日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张磊</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Q:34.06.00</w:t>
            </w:r>
          </w:p>
          <w:p>
            <w:pPr>
              <w:jc w:val="center"/>
              <w:rPr>
                <w:sz w:val="21"/>
                <w:szCs w:val="21"/>
              </w:rPr>
            </w:pPr>
            <w:r>
              <w:rPr>
                <w:sz w:val="21"/>
                <w:szCs w:val="21"/>
              </w:rPr>
              <w:t>E:34.06.00</w:t>
            </w:r>
          </w:p>
          <w:p>
            <w:pPr>
              <w:jc w:val="center"/>
              <w:rPr>
                <w:sz w:val="21"/>
                <w:szCs w:val="21"/>
              </w:rPr>
            </w:pPr>
            <w:r>
              <w:rPr>
                <w:sz w:val="21"/>
                <w:szCs w:val="21"/>
              </w:rPr>
              <w:t>O:34.06.00</w:t>
            </w:r>
          </w:p>
        </w:tc>
        <w:tc>
          <w:tcPr>
            <w:tcW w:w="1559" w:type="dxa"/>
            <w:gridSpan w:val="4"/>
            <w:vAlign w:val="center"/>
          </w:tcPr>
          <w:p>
            <w:pPr>
              <w:jc w:val="center"/>
              <w:rPr>
                <w:sz w:val="21"/>
                <w:szCs w:val="21"/>
              </w:rPr>
            </w:pPr>
            <w:r>
              <w:rPr>
                <w:sz w:val="21"/>
                <w:szCs w:val="21"/>
              </w:rPr>
              <w:t>17621168040</w:t>
            </w:r>
          </w:p>
        </w:tc>
        <w:tc>
          <w:tcPr>
            <w:tcW w:w="1229" w:type="dxa"/>
            <w:vAlign w:val="center"/>
          </w:tcPr>
          <w:p>
            <w:pPr>
              <w:jc w:val="center"/>
              <w:rPr>
                <w:sz w:val="21"/>
                <w:szCs w:val="21"/>
              </w:rPr>
            </w:pPr>
            <w:r>
              <w:rPr>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温红玲</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13835942286</w:t>
            </w:r>
          </w:p>
        </w:tc>
        <w:tc>
          <w:tcPr>
            <w:tcW w:w="1229" w:type="dxa"/>
            <w:vAlign w:val="center"/>
          </w:tcPr>
          <w:p>
            <w:pPr>
              <w:jc w:val="center"/>
              <w:rPr>
                <w:sz w:val="21"/>
                <w:szCs w:val="21"/>
              </w:rPr>
            </w:pPr>
            <w:r>
              <w:rPr>
                <w:sz w:val="21"/>
                <w:szCs w:val="21"/>
              </w:rPr>
              <w:t>ISC[S]0402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0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0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2021.5.7</w:t>
            </w:r>
          </w:p>
        </w:tc>
        <w:tc>
          <w:tcPr>
            <w:tcW w:w="1309" w:type="dxa"/>
            <w:vAlign w:val="center"/>
          </w:tcPr>
          <w:p>
            <w:pPr>
              <w:snapToGrid w:val="0"/>
              <w:spacing w:line="280" w:lineRule="exact"/>
              <w:jc w:val="center"/>
              <w:rPr>
                <w:rFonts w:hint="eastAsia"/>
                <w:b/>
                <w:sz w:val="20"/>
              </w:rPr>
            </w:pPr>
            <w:r>
              <w:rPr>
                <w:rFonts w:hint="eastAsia"/>
                <w:b/>
                <w:sz w:val="20"/>
                <w:lang w:val="en-US" w:eastAsia="zh-CN"/>
              </w:rPr>
              <w:t>09:00-09:30</w:t>
            </w:r>
          </w:p>
        </w:tc>
        <w:tc>
          <w:tcPr>
            <w:tcW w:w="6781"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首次会议</w:t>
            </w:r>
          </w:p>
        </w:tc>
        <w:tc>
          <w:tcPr>
            <w:tcW w:w="1196" w:type="dxa"/>
            <w:tcBorders>
              <w:right w:val="single" w:color="auto" w:sz="8" w:space="0"/>
            </w:tcBorders>
            <w:vAlign w:val="center"/>
          </w:tcPr>
          <w:p>
            <w:pPr>
              <w:snapToGrid w:val="0"/>
              <w:spacing w:line="280" w:lineRule="exact"/>
              <w:jc w:val="center"/>
              <w:rPr>
                <w:rFonts w:hint="eastAsia"/>
                <w:b/>
                <w:sz w:val="20"/>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309" w:type="dxa"/>
            <w:vMerge w:val="restart"/>
            <w:vAlign w:val="center"/>
          </w:tcPr>
          <w:p>
            <w:pPr>
              <w:snapToGrid w:val="0"/>
              <w:spacing w:line="280" w:lineRule="exact"/>
              <w:jc w:val="left"/>
              <w:rPr>
                <w:rFonts w:hint="eastAsia"/>
                <w:b/>
                <w:sz w:val="20"/>
                <w:lang w:val="en-US" w:eastAsia="zh-CN"/>
              </w:rPr>
            </w:pPr>
            <w:r>
              <w:rPr>
                <w:rFonts w:hint="eastAsia"/>
                <w:b/>
                <w:sz w:val="20"/>
                <w:lang w:val="en-US" w:eastAsia="zh-CN"/>
              </w:rPr>
              <w:t>09:30-10:30</w:t>
            </w:r>
          </w:p>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合同基本信息确认:</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核对资质证书（营业执照、生产（安全）许可证、行业许可证、3C证书等）原件和复印件/扫描件的一致性</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确定审核范围的合理性（地址、产品/服务）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确定多现场和临时现场的地址</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确定有效的员工人数 </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生产、服务的班次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b/>
                <w:sz w:val="20"/>
              </w:rPr>
            </w:pPr>
          </w:p>
        </w:tc>
        <w:tc>
          <w:tcPr>
            <w:tcW w:w="1309" w:type="dxa"/>
            <w:vMerge w:val="continue"/>
            <w:vAlign w:val="center"/>
          </w:tcPr>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了解企业基本情况：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组织环境</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主要的相关方和期望 </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风险的识别和评价</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组织机构的设置</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外部提供过程、产品和服务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被主管部门处罚和曝光情况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其他机构转入情况（适用时）</w:t>
            </w:r>
          </w:p>
        </w:tc>
        <w:tc>
          <w:tcPr>
            <w:tcW w:w="1196" w:type="dxa"/>
            <w:vMerge w:val="continue"/>
            <w:tcBorders>
              <w:right w:val="single" w:color="auto" w:sz="8" w:space="0"/>
            </w:tcBorders>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b/>
                <w:sz w:val="20"/>
              </w:rPr>
            </w:pPr>
          </w:p>
        </w:tc>
        <w:tc>
          <w:tcPr>
            <w:tcW w:w="1309" w:type="dxa"/>
            <w:vMerge w:val="continue"/>
            <w:vAlign w:val="center"/>
          </w:tcPr>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文件化体系策划情况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管理手册；</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文件化的程序；</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作业文件；</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记录表格</w:t>
            </w:r>
          </w:p>
        </w:tc>
        <w:tc>
          <w:tcPr>
            <w:tcW w:w="1196" w:type="dxa"/>
            <w:vMerge w:val="continue"/>
            <w:tcBorders>
              <w:right w:val="single" w:color="auto" w:sz="8" w:space="0"/>
            </w:tcBorders>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1091" w:type="dxa"/>
            <w:vMerge w:val="continue"/>
            <w:tcBorders>
              <w:left w:val="single" w:color="auto" w:sz="8" w:space="0"/>
            </w:tcBorders>
            <w:vAlign w:val="center"/>
          </w:tcPr>
          <w:p>
            <w:pPr>
              <w:snapToGrid w:val="0"/>
              <w:spacing w:line="280" w:lineRule="exact"/>
              <w:jc w:val="left"/>
              <w:rPr>
                <w:b/>
                <w:sz w:val="20"/>
              </w:rPr>
            </w:pPr>
          </w:p>
        </w:tc>
        <w:tc>
          <w:tcPr>
            <w:tcW w:w="1309" w:type="dxa"/>
            <w:vMerge w:val="continue"/>
            <w:vAlign w:val="center"/>
          </w:tcPr>
          <w:p>
            <w:pPr>
              <w:snapToGrid w:val="0"/>
              <w:spacing w:line="280" w:lineRule="exact"/>
              <w:jc w:val="left"/>
              <w:rPr>
                <w:b/>
                <w:sz w:val="20"/>
              </w:rPr>
            </w:pP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各管理体系的运行情况：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管理方针制定与贯彻情况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管理目标及完成统计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员工对相关标准的认知和能力（贯标培训、应知应会、持证上岗等）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相关方/客户的反馈</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内审的策划和实施</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管理体系的评审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对多场所/临时场所建立的控制的水平（适用时）</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1091" w:type="dxa"/>
            <w:vMerge w:val="restart"/>
            <w:tcBorders>
              <w:left w:val="single" w:color="auto" w:sz="8" w:space="0"/>
            </w:tcBorders>
            <w:vAlign w:val="center"/>
          </w:tcPr>
          <w:p>
            <w:pPr>
              <w:snapToGrid w:val="0"/>
              <w:spacing w:line="280" w:lineRule="exact"/>
              <w:jc w:val="left"/>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pStyle w:val="12"/>
              <w:rPr>
                <w:b/>
                <w:sz w:val="20"/>
              </w:rPr>
            </w:pPr>
          </w:p>
          <w:p>
            <w:pPr>
              <w:snapToGrid w:val="0"/>
              <w:spacing w:line="280" w:lineRule="exact"/>
              <w:jc w:val="left"/>
              <w:rPr>
                <w:rFonts w:hint="default" w:eastAsia="宋体"/>
                <w:b/>
                <w:sz w:val="20"/>
                <w:highlight w:val="none"/>
                <w:lang w:val="en-US" w:eastAsia="zh-CN"/>
              </w:rPr>
            </w:pPr>
          </w:p>
        </w:tc>
        <w:tc>
          <w:tcPr>
            <w:tcW w:w="1309" w:type="dxa"/>
            <w:vAlign w:val="center"/>
          </w:tcPr>
          <w:p>
            <w:pPr>
              <w:widowControl/>
              <w:numPr>
                <w:ilvl w:val="0"/>
                <w:numId w:val="0"/>
              </w:numPr>
              <w:spacing w:before="40"/>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10</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0-1</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0</w:t>
            </w:r>
          </w:p>
        </w:tc>
        <w:tc>
          <w:tcPr>
            <w:tcW w:w="67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b/>
                <w:bCs/>
                <w:sz w:val="21"/>
                <w:szCs w:val="21"/>
              </w:rPr>
              <w:t>现场巡查</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-巡视生产区域（厂区、车间、库房、实验室等）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-确认生产/服务流程</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-观察基础设施（生产设备、环保设备、安全装置/手持电动工具等）运行完好</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-观察质量相关的监视和测量设备的种类并了解检定/校准情况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-观察使用特种设备的种类并了解定期检测和备案登记情况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-巡视动力设施和辅助设施（污水处理站、锅炉房、高低压配电室、空压站、制冷站、消防中控室、消防泵房、除尘装置、尾气处理、危化品库房、危险废弃物存放处、改建/扩建施工现场、食堂、宿舍、班车等）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-观察总排口是否存在明显违规现象</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-观察员工劳保用品的佩戴情况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-了解是否存在室外作业的情况</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-观察工作环境（清洁、消毒、虫害防治等）</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依据平面布置图、生产流程图，现场了解现场布局、产品实现过程，确认食品安全控制措施（工艺技术、产品标准）的合理性、实施的有效性。</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确认生产和辅助设施配备的充分性，检验设备和检验能力的充分性。</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仓库现场。</w:t>
            </w:r>
          </w:p>
          <w:p>
            <w:pPr>
              <w:keepNext w:val="0"/>
              <w:keepLines w:val="0"/>
              <w:pageBreakBefore w:val="0"/>
              <w:widowControl/>
              <w:numPr>
                <w:ilvl w:val="0"/>
                <w:numId w:val="0"/>
              </w:numPr>
              <w:kinsoku/>
              <w:wordWrap/>
              <w:overflowPunct/>
              <w:topLinePunct w:val="0"/>
              <w:autoSpaceDE/>
              <w:autoSpaceDN/>
              <w:bidi w:val="0"/>
              <w:adjustRightInd/>
              <w:snapToGrid/>
              <w:spacing w:before="40" w:line="300" w:lineRule="exact"/>
              <w:ind w:left="278" w:leftChars="0"/>
              <w:jc w:val="left"/>
              <w:textAlignment w:val="auto"/>
              <w:rPr>
                <w:rFonts w:hint="eastAsia"/>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标识、追溯计划、产品召回</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1" w:hRule="atLeast"/>
        </w:trPr>
        <w:tc>
          <w:tcPr>
            <w:tcW w:w="1091" w:type="dxa"/>
            <w:vMerge w:val="continue"/>
            <w:tcBorders>
              <w:left w:val="single" w:color="auto" w:sz="8" w:space="0"/>
            </w:tcBorders>
            <w:shd w:val="clear" w:color="auto" w:fill="EAF1DD" w:themeFill="accent3" w:themeFillTint="33"/>
            <w:vAlign w:val="center"/>
          </w:tcPr>
          <w:p>
            <w:pPr>
              <w:snapToGrid w:val="0"/>
              <w:spacing w:line="280" w:lineRule="exact"/>
              <w:jc w:val="left"/>
              <w:rPr>
                <w:rFonts w:hint="default" w:eastAsia="宋体"/>
                <w:b/>
                <w:sz w:val="20"/>
                <w:highlight w:val="none"/>
                <w:lang w:val="en-US" w:eastAsia="zh-CN"/>
              </w:rPr>
            </w:pPr>
          </w:p>
        </w:tc>
        <w:tc>
          <w:tcPr>
            <w:tcW w:w="1309" w:type="dxa"/>
            <w:vMerge w:val="restart"/>
            <w:shd w:val="clear" w:color="auto" w:fill="EAF1DD" w:themeFill="accent3" w:themeFillTint="33"/>
            <w:vAlign w:val="center"/>
          </w:tcPr>
          <w:p>
            <w:pPr>
              <w:widowControl/>
              <w:numPr>
                <w:ilvl w:val="0"/>
                <w:numId w:val="0"/>
              </w:numPr>
              <w:spacing w:before="40"/>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11</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0-1</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0</w:t>
            </w:r>
          </w:p>
        </w:tc>
        <w:tc>
          <w:tcPr>
            <w:tcW w:w="6781" w:type="dxa"/>
            <w:shd w:val="clear" w:color="auto" w:fill="EAF1DD" w:themeFill="accent3" w:themeFillTint="33"/>
            <w:vAlign w:val="center"/>
          </w:tcPr>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QMS运行情况：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确认不适用条款及合理的理由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了解质量关键控制点</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了解关键过程和需要确认的过程及控制情况；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了解产品执行的标准或技术要求；</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查看型式检验的证据（报告）</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了解顾客投诉处理</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了解顾客满意度的情况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确定建设单位的在建项目清单（仅限建工QMS）</w:t>
            </w:r>
          </w:p>
        </w:tc>
        <w:tc>
          <w:tcPr>
            <w:tcW w:w="1196" w:type="dxa"/>
            <w:tcBorders>
              <w:right w:val="single" w:color="auto" w:sz="8" w:space="0"/>
            </w:tcBorders>
            <w:shd w:val="clear" w:color="auto" w:fill="EAF1DD" w:themeFill="accent3" w:themeFillTint="33"/>
            <w:vAlign w:val="center"/>
          </w:tcPr>
          <w:p>
            <w:pPr>
              <w:widowControl/>
              <w:numPr>
                <w:ilvl w:val="0"/>
                <w:numId w:val="0"/>
              </w:numPr>
              <w:spacing w:before="40"/>
              <w:ind w:left="277" w:left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trPr>
        <w:tc>
          <w:tcPr>
            <w:tcW w:w="109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09" w:type="dxa"/>
            <w:vMerge w:val="continue"/>
            <w:shd w:val="clear" w:color="auto" w:fill="DAEEF3" w:themeFill="accent5" w:themeFillTint="33"/>
            <w:vAlign w:val="center"/>
          </w:tcPr>
          <w:p>
            <w:pPr>
              <w:widowControl/>
              <w:numPr>
                <w:ilvl w:val="0"/>
                <w:numId w:val="0"/>
              </w:numPr>
              <w:spacing w:before="40"/>
              <w:jc w:val="left"/>
              <w:rPr>
                <w:rFonts w:hint="eastAsia" w:ascii="宋体" w:hAnsi="宋体" w:eastAsia="宋体" w:cs="宋体"/>
                <w:sz w:val="18"/>
                <w:szCs w:val="18"/>
                <w:lang w:val="en-US" w:eastAsia="zh-CN"/>
              </w:rPr>
            </w:pPr>
          </w:p>
        </w:tc>
        <w:tc>
          <w:tcPr>
            <w:tcW w:w="6781" w:type="dxa"/>
            <w:shd w:val="clear" w:color="auto" w:fill="DAEEF3" w:themeFill="accent5" w:themeFillTint="33"/>
            <w:vAlign w:val="center"/>
          </w:tcPr>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EMS运行情况：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查看地理位置图、污水管网图（适用时）</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了解主要资源和能源使用种类</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查看环境因素的识别和评价程序合理性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了解重要环境因素的和控制措施</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了解适用的环境法律和其他要求的获取、识别程序实施情况和合规性评价</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查看合规性证明（98年后新扩建的环评验收、环境监测报告）</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了解危险化学品的种类及MSDS</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了解危险废弃物的处置</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了解消防控制方法（消防备案或消防验收）</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了解应急准备和响应情况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查看《排污许可证》</w:t>
            </w:r>
          </w:p>
        </w:tc>
        <w:tc>
          <w:tcPr>
            <w:tcW w:w="1196" w:type="dxa"/>
            <w:tcBorders>
              <w:right w:val="single" w:color="auto" w:sz="8" w:space="0"/>
            </w:tcBorders>
            <w:shd w:val="clear" w:color="auto" w:fill="DAEEF3" w:themeFill="accent5" w:themeFillTint="33"/>
            <w:vAlign w:val="center"/>
          </w:tcPr>
          <w:p>
            <w:pPr>
              <w:widowControl/>
              <w:numPr>
                <w:ilvl w:val="0"/>
                <w:numId w:val="0"/>
              </w:numPr>
              <w:spacing w:before="40"/>
              <w:ind w:left="277" w:left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6" w:hRule="atLeast"/>
        </w:trPr>
        <w:tc>
          <w:tcPr>
            <w:tcW w:w="109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09" w:type="dxa"/>
            <w:vMerge w:val="continue"/>
            <w:shd w:val="clear" w:color="auto" w:fill="E5DFEC" w:themeFill="accent4" w:themeFillTint="33"/>
            <w:vAlign w:val="center"/>
          </w:tcPr>
          <w:p>
            <w:pPr>
              <w:widowControl/>
              <w:numPr>
                <w:ilvl w:val="0"/>
                <w:numId w:val="0"/>
              </w:numPr>
              <w:spacing w:before="40"/>
              <w:ind w:left="0" w:leftChars="0" w:firstLine="0" w:firstLineChars="0"/>
              <w:jc w:val="left"/>
              <w:rPr>
                <w:rFonts w:hint="eastAsia" w:ascii="宋体" w:hAnsi="宋体" w:eastAsia="宋体" w:cs="宋体"/>
                <w:sz w:val="18"/>
                <w:szCs w:val="18"/>
                <w:lang w:val="en-US" w:eastAsia="zh-CN"/>
              </w:rPr>
            </w:pPr>
          </w:p>
        </w:tc>
        <w:tc>
          <w:tcPr>
            <w:tcW w:w="6781" w:type="dxa"/>
            <w:shd w:val="clear" w:color="auto" w:fill="E5DFEC" w:themeFill="accent4" w:themeFillTint="33"/>
            <w:vAlign w:val="center"/>
          </w:tcPr>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OHSMS运行情况：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查看危险源的辨识和评价程序合理性</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了解重要危险源的辨识和控制措施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了解适用的职业健康安全法律和其他要求的获取、识别程序实施情况和合规性评价 </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查看合规性证明（安全评估、职业病评估、作业场所监测、）</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了解三级安全教育的实施</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了解职业病体检的情况</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了解危险化学品的种类及MSDS</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了解消防控制方法（消防备案或消防验收）</w:t>
            </w:r>
          </w:p>
          <w:p>
            <w:pPr>
              <w:widowControl/>
              <w:numPr>
                <w:ilvl w:val="0"/>
                <w:numId w:val="0"/>
              </w:numPr>
              <w:spacing w:before="40"/>
              <w:ind w:left="277" w:left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了解应急准备和响应情况 </w:t>
            </w:r>
          </w:p>
        </w:tc>
        <w:tc>
          <w:tcPr>
            <w:tcW w:w="1196" w:type="dxa"/>
            <w:tcBorders>
              <w:right w:val="single" w:color="auto" w:sz="8" w:space="0"/>
            </w:tcBorders>
            <w:shd w:val="clear" w:color="auto" w:fill="E5DFEC" w:themeFill="accent4" w:themeFillTint="33"/>
            <w:vAlign w:val="center"/>
          </w:tcPr>
          <w:p>
            <w:pPr>
              <w:widowControl/>
              <w:numPr>
                <w:ilvl w:val="0"/>
                <w:numId w:val="0"/>
              </w:numPr>
              <w:spacing w:before="40"/>
              <w:ind w:left="277" w:left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3" w:hRule="atLeast"/>
        </w:trPr>
        <w:tc>
          <w:tcPr>
            <w:tcW w:w="109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09" w:type="dxa"/>
            <w:shd w:val="clear" w:color="auto" w:fill="FDE9D9" w:themeFill="accent6" w:themeFillTint="33"/>
            <w:vAlign w:val="center"/>
          </w:tcPr>
          <w:p>
            <w:pPr>
              <w:snapToGrid w:val="0"/>
              <w:spacing w:line="280" w:lineRule="exact"/>
              <w:jc w:val="left"/>
              <w:rPr>
                <w:b/>
                <w:sz w:val="20"/>
              </w:rPr>
            </w:pPr>
            <w:r>
              <w:rPr>
                <w:rFonts w:hint="eastAsia"/>
                <w:b/>
                <w:sz w:val="20"/>
                <w:lang w:val="en-US" w:eastAsia="zh-CN"/>
              </w:rPr>
              <w:t>12:30-13:00</w:t>
            </w:r>
          </w:p>
        </w:tc>
        <w:tc>
          <w:tcPr>
            <w:tcW w:w="6781" w:type="dxa"/>
            <w:shd w:val="clear" w:color="auto" w:fill="FDE9D9" w:themeFill="accent6" w:themeFillTint="33"/>
            <w:vAlign w:val="center"/>
          </w:tcPr>
          <w:p>
            <w:pPr>
              <w:widowControl/>
              <w:numPr>
                <w:ilvl w:val="0"/>
                <w:numId w:val="0"/>
              </w:numPr>
              <w:spacing w:before="40"/>
              <w:ind w:left="0" w:leftChars="0" w:firstLine="0" w:firstLineChars="0"/>
              <w:jc w:val="left"/>
              <w:rPr>
                <w:rFonts w:hint="eastAsia"/>
                <w:sz w:val="21"/>
                <w:szCs w:val="21"/>
              </w:rPr>
            </w:pPr>
            <w:r>
              <w:rPr>
                <w:rFonts w:hint="eastAsia"/>
                <w:sz w:val="21"/>
                <w:szCs w:val="21"/>
                <w:lang w:val="en-US" w:eastAsia="zh-CN"/>
              </w:rPr>
              <w:t>末次会议</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b/>
                <w:sz w:val="20"/>
                <w:lang w:val="en-US" w:eastAsia="zh-CN"/>
              </w:rPr>
            </w:pPr>
            <w:r>
              <w:rPr>
                <w:rFonts w:hint="eastAsia"/>
                <w:b/>
                <w:sz w:val="20"/>
                <w:lang w:val="en-US" w:eastAsia="zh-CN"/>
              </w:rPr>
              <w:t>ABC</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0E2BDF"/>
    <w:rsid w:val="27133224"/>
    <w:rsid w:val="355D0D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张磊</cp:lastModifiedBy>
  <cp:lastPrinted>2019-03-27T03:10:00Z</cp:lastPrinted>
  <dcterms:modified xsi:type="dcterms:W3CDTF">2021-05-07T03:21:12Z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D32B316815FE4F9AB55E87222249A2F1</vt:lpwstr>
  </property>
</Properties>
</file>