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湖北三民装备科技有限公司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湖北三民装备科技有限公司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十堰市张湾区工业新区捷达路16号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442100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十堰市张湾区工业新区捷达路16号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442100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沈霞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18872068336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熊斌</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沈霞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铁路机车零部件（特殊资质要求除外）的生产及销售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22.04.00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19" w:name="体系运行时间"/>
            <w:bookmarkEnd w:id="19"/>
            <w:r>
              <w:rPr>
                <w:rFonts w:hint="eastAsia" w:ascii="宋体" w:hAnsi="宋体"/>
                <w:b/>
                <w:color w:val="000000" w:themeColor="text1"/>
                <w:sz w:val="20"/>
                <w:szCs w:val="20"/>
                <w:lang w:val="en-US" w:eastAsia="zh-CN"/>
              </w:rPr>
              <w:t>2021.6.8</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bCs w:val="0"/>
                <w:color w:val="000000"/>
                <w:sz w:val="20"/>
                <w:szCs w:val="20"/>
                <w:lang w:val="en-US" w:eastAsia="zh-CN"/>
              </w:rPr>
              <w:t>高管层</w:t>
            </w:r>
          </w:p>
        </w:tc>
        <w:tc>
          <w:tcPr>
            <w:tcW w:w="6804" w:type="dxa"/>
            <w:vAlign w:val="top"/>
          </w:tcPr>
          <w:p>
            <w:pPr>
              <w:spacing w:line="240" w:lineRule="auto"/>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内外部环境、风险识别、资源支持、管理评审等，与管理层有关的质量管理活动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color w:val="000000" w:themeColor="text1"/>
                <w:kern w:val="2"/>
                <w:sz w:val="20"/>
                <w:szCs w:val="20"/>
                <w:lang w:val="en-US" w:eastAsia="zh-CN" w:bidi="ar-SA"/>
              </w:rPr>
            </w:pPr>
            <w:r>
              <w:rPr>
                <w:rFonts w:hint="eastAsia" w:ascii="宋体" w:hAnsi="宋体"/>
                <w:b/>
                <w:bCs w:val="0"/>
                <w:color w:val="000000"/>
                <w:sz w:val="20"/>
                <w:szCs w:val="20"/>
                <w:lang w:val="en-US" w:eastAsia="zh-CN"/>
              </w:rPr>
              <w:t>办公室</w:t>
            </w:r>
          </w:p>
        </w:tc>
        <w:tc>
          <w:tcPr>
            <w:tcW w:w="6804" w:type="dxa"/>
            <w:vAlign w:val="top"/>
          </w:tcPr>
          <w:p>
            <w:pPr>
              <w:spacing w:line="240" w:lineRule="auto"/>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color w:val="000000" w:themeColor="text1"/>
                <w:kern w:val="2"/>
                <w:sz w:val="20"/>
                <w:szCs w:val="20"/>
                <w:lang w:val="en-US" w:eastAsia="zh-CN" w:bidi="ar-SA"/>
              </w:rPr>
            </w:pPr>
            <w:r>
              <w:rPr>
                <w:rFonts w:hint="eastAsia" w:ascii="宋体" w:hAnsi="宋体"/>
                <w:b/>
                <w:bCs w:val="0"/>
                <w:color w:val="000000"/>
                <w:sz w:val="20"/>
                <w:szCs w:val="20"/>
                <w:lang w:val="en-US" w:eastAsia="zh-CN"/>
              </w:rPr>
              <w:t>销售部</w:t>
            </w:r>
          </w:p>
        </w:tc>
        <w:tc>
          <w:tcPr>
            <w:tcW w:w="6804" w:type="dxa"/>
            <w:vAlign w:val="top"/>
          </w:tcPr>
          <w:p>
            <w:pPr>
              <w:spacing w:line="240" w:lineRule="auto"/>
              <w:jc w:val="both"/>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themeColor="text1"/>
                <w:sz w:val="21"/>
                <w:szCs w:val="21"/>
              </w:rPr>
              <w:t>采购过程相关等过程、销售过程、客户满意等及相应质量管理体系运行过程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spacing w:line="240" w:lineRule="auto"/>
              <w:jc w:val="center"/>
              <w:rPr>
                <w:rFonts w:ascii="宋体" w:hAnsi="宋体" w:eastAsia="宋体" w:cs="Times New Roman"/>
                <w:b/>
                <w:color w:val="000000" w:themeColor="text1"/>
                <w:kern w:val="2"/>
                <w:sz w:val="20"/>
                <w:szCs w:val="20"/>
                <w:lang w:val="en-US" w:eastAsia="zh-CN" w:bidi="ar-SA"/>
              </w:rPr>
            </w:pPr>
            <w:r>
              <w:rPr>
                <w:rFonts w:hint="eastAsia" w:ascii="宋体" w:hAnsi="宋体"/>
                <w:b/>
                <w:bCs w:val="0"/>
                <w:color w:val="000000"/>
                <w:sz w:val="20"/>
                <w:szCs w:val="20"/>
                <w:lang w:val="en-US" w:eastAsia="zh-CN"/>
              </w:rPr>
              <w:t>生产技术部</w:t>
            </w:r>
          </w:p>
        </w:tc>
        <w:tc>
          <w:tcPr>
            <w:tcW w:w="6804" w:type="dxa"/>
            <w:vAlign w:val="top"/>
          </w:tcPr>
          <w:p>
            <w:pPr>
              <w:spacing w:line="240" w:lineRule="auto"/>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bCs w:val="0"/>
                <w:color w:val="000000"/>
                <w:spacing w:val="-20"/>
                <w:sz w:val="21"/>
                <w:szCs w:val="21"/>
              </w:rPr>
              <w:t>基础设施、</w:t>
            </w:r>
            <w:r>
              <w:rPr>
                <w:rFonts w:hint="eastAsia" w:ascii="宋体" w:hAnsi="宋体"/>
                <w:b/>
                <w:bCs w:val="0"/>
                <w:color w:val="000000" w:themeColor="text1"/>
                <w:sz w:val="21"/>
                <w:szCs w:val="21"/>
                <w:lang w:val="en-US" w:eastAsia="zh-CN"/>
              </w:rPr>
              <w:t>生产</w:t>
            </w:r>
            <w:r>
              <w:rPr>
                <w:rFonts w:ascii="宋体" w:hAnsi="宋体"/>
                <w:b/>
                <w:bCs w:val="0"/>
                <w:color w:val="000000" w:themeColor="text1"/>
                <w:sz w:val="21"/>
                <w:szCs w:val="21"/>
              </w:rPr>
              <w:t>过程管理</w:t>
            </w:r>
            <w:r>
              <w:rPr>
                <w:rFonts w:hint="eastAsia" w:ascii="宋体" w:hAnsi="宋体"/>
                <w:b/>
                <w:bCs w:val="0"/>
                <w:color w:val="000000" w:themeColor="text1"/>
                <w:sz w:val="21"/>
                <w:szCs w:val="21"/>
              </w:rPr>
              <w:t>；</w:t>
            </w:r>
            <w:r>
              <w:rPr>
                <w:rFonts w:ascii="宋体" w:hAnsi="宋体"/>
                <w:b/>
                <w:bCs w:val="0"/>
                <w:color w:val="000000" w:themeColor="text1"/>
                <w:sz w:val="21"/>
                <w:szCs w:val="21"/>
              </w:rPr>
              <w:t>设备管理</w:t>
            </w:r>
            <w:r>
              <w:rPr>
                <w:rFonts w:hint="eastAsia" w:ascii="宋体" w:hAnsi="宋体"/>
                <w:b/>
                <w:bCs w:val="0"/>
                <w:color w:val="000000" w:themeColor="text1"/>
                <w:sz w:val="21"/>
                <w:szCs w:val="21"/>
                <w:lang w:eastAsia="zh-CN"/>
              </w:rPr>
              <w:t>、</w:t>
            </w:r>
            <w:r>
              <w:rPr>
                <w:rFonts w:hint="eastAsia" w:ascii="宋体" w:hAnsi="宋体"/>
                <w:b/>
                <w:bCs w:val="0"/>
                <w:color w:val="000000" w:themeColor="text1"/>
                <w:sz w:val="21"/>
                <w:szCs w:val="21"/>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rPr>
            </w:pPr>
            <w:r>
              <w:t>1、</w:t>
            </w:r>
            <w:r>
              <w:rPr>
                <w:rFonts w:hint="eastAsia"/>
              </w:rPr>
              <w:t>组织及其环境的识别情况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企业于</w:t>
            </w:r>
            <w:r>
              <w:rPr>
                <w:rFonts w:hint="eastAsia" w:ascii="宋体" w:hAnsi="宋体" w:eastAsia="宋体" w:cs="宋体"/>
                <w:sz w:val="21"/>
                <w:szCs w:val="21"/>
                <w:lang w:val="en-US" w:eastAsia="zh-CN"/>
              </w:rPr>
              <w:t>2017-08-02成立取得</w:t>
            </w:r>
            <w:r>
              <w:rPr>
                <w:rFonts w:hint="eastAsia" w:ascii="宋体" w:hAnsi="宋体" w:cs="宋体"/>
                <w:sz w:val="21"/>
                <w:szCs w:val="21"/>
                <w:lang w:val="en-US" w:eastAsia="zh-CN"/>
              </w:rPr>
              <w:t>三合一</w:t>
            </w:r>
            <w:r>
              <w:rPr>
                <w:rFonts w:hint="eastAsia" w:ascii="宋体" w:hAnsi="宋体" w:eastAsia="宋体" w:cs="宋体"/>
                <w:sz w:val="21"/>
                <w:szCs w:val="21"/>
                <w:lang w:val="en-US" w:eastAsia="zh-CN"/>
              </w:rPr>
              <w:t>营业执照，注册资本</w:t>
            </w:r>
            <w:r>
              <w:rPr>
                <w:rFonts w:hint="eastAsia" w:ascii="宋体" w:hAnsi="宋体" w:cs="宋体"/>
                <w:sz w:val="21"/>
                <w:szCs w:val="21"/>
                <w:lang w:val="en-US" w:eastAsia="zh-CN"/>
              </w:rPr>
              <w:t>500</w:t>
            </w:r>
            <w:r>
              <w:rPr>
                <w:rFonts w:hint="eastAsia" w:ascii="宋体" w:hAnsi="宋体" w:eastAsia="宋体" w:cs="宋体"/>
                <w:sz w:val="21"/>
                <w:szCs w:val="21"/>
                <w:lang w:val="en-US" w:eastAsia="zh-CN"/>
              </w:rPr>
              <w:t>万元，注册地址/生产地址：铁路机车零部件（特殊资质要求除外）的生产及销售。</w:t>
            </w:r>
            <w:r>
              <w:rPr>
                <w:rFonts w:hint="eastAsia" w:ascii="宋体" w:hAnsi="宋体" w:cs="宋体"/>
                <w:sz w:val="21"/>
                <w:szCs w:val="21"/>
                <w:lang w:val="en-US" w:eastAsia="zh-CN"/>
              </w:rPr>
              <w:t>此地址为租用十堰华顺工贸有限公司车间部分（240平方米），办公楼2楼一侧办公区域。</w:t>
            </w:r>
            <w:r>
              <w:rPr>
                <w:rFonts w:hint="eastAsia" w:ascii="宋体" w:hAnsi="宋体" w:eastAsia="宋体" w:cs="宋体"/>
                <w:kern w:val="2"/>
                <w:sz w:val="21"/>
                <w:szCs w:val="21"/>
                <w:lang w:val="en-US" w:eastAsia="zh-CN" w:bidi="ar-SA"/>
              </w:rPr>
              <w:t>公司</w:t>
            </w:r>
            <w:r>
              <w:rPr>
                <w:rFonts w:hint="eastAsia" w:ascii="宋体" w:hAnsi="宋体" w:cs="宋体"/>
                <w:kern w:val="2"/>
                <w:sz w:val="21"/>
                <w:szCs w:val="21"/>
                <w:lang w:val="en-US" w:eastAsia="zh-CN" w:bidi="ar-SA"/>
              </w:rPr>
              <w:t>主要为金鹰重型工程机械有限公司提供铁路机车零部件的加工生产</w:t>
            </w:r>
            <w:r>
              <w:rPr>
                <w:rFonts w:hint="eastAsia" w:ascii="宋体" w:hAnsi="宋体" w:eastAsia="宋体" w:cs="宋体"/>
                <w:kern w:val="2"/>
                <w:sz w:val="21"/>
                <w:szCs w:val="21"/>
                <w:lang w:val="en-US" w:eastAsia="zh-CN" w:bidi="ar-SA"/>
              </w:rPr>
              <w:t>。</w:t>
            </w:r>
          </w:p>
          <w:p>
            <w:pPr>
              <w:spacing w:line="360" w:lineRule="auto"/>
              <w:ind w:firstLine="420" w:firstLineChars="200"/>
              <w:rPr>
                <w:rFonts w:hint="eastAsia" w:ascii="Times New Roman" w:hAnsi="Times New Roman" w:eastAsia="宋体" w:cs="Times New Roman"/>
                <w:lang w:eastAsia="zh-CN"/>
              </w:rPr>
            </w:pPr>
            <w:r>
              <w:rPr>
                <w:rFonts w:hint="eastAsia" w:ascii="宋体" w:hAnsi="宋体" w:eastAsia="宋体" w:cs="宋体"/>
                <w:sz w:val="21"/>
                <w:szCs w:val="21"/>
              </w:rPr>
              <w:t>目前主要从事</w:t>
            </w:r>
            <w:r>
              <w:rPr>
                <w:rFonts w:hint="eastAsia" w:ascii="宋体" w:hAnsi="宋体" w:cs="宋体"/>
                <w:sz w:val="21"/>
                <w:szCs w:val="21"/>
                <w:lang w:val="en-US" w:eastAsia="zh-CN"/>
              </w:rPr>
              <w:t>铁路机车零部件（特殊资质要求除外）的生产及销售</w:t>
            </w:r>
            <w:r>
              <w:rPr>
                <w:rFonts w:hint="eastAsia" w:ascii="宋体" w:hAnsi="宋体" w:eastAsia="宋体" w:cs="宋体"/>
                <w:sz w:val="21"/>
                <w:szCs w:val="21"/>
              </w:rPr>
              <w:t>。</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公司每年根据由公司销售人员从市场、客户、网络等搜集到的信息并结合公司自身业务运作情况进行分析，通过分析对这些内部和外部因素的相关信息进行监视和评审以确保其充分和适宜。</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对组织内外部环境进行了识别:</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外部环境：供应商、顾客、竞争者、政府和社会团体等。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内部环境：物理环境、心理环境、文化环境等。</w:t>
            </w:r>
          </w:p>
          <w:p>
            <w:pPr>
              <w:pStyle w:val="3"/>
              <w:ind w:left="480" w:leftChars="0"/>
              <w:rPr>
                <w:b/>
                <w:color w:val="000000" w:themeColor="text1"/>
                <w:sz w:val="20"/>
                <w:szCs w:val="20"/>
              </w:rPr>
            </w:pPr>
            <w:r>
              <w:rPr>
                <w:rFonts w:hint="eastAsia" w:ascii="宋体" w:hAnsi="宋体" w:eastAsia="宋体" w:cs="宋体"/>
                <w:kern w:val="2"/>
                <w:sz w:val="21"/>
                <w:szCs w:val="21"/>
                <w:lang w:val="en-US" w:eastAsia="zh-CN" w:bidi="ar-SA"/>
              </w:rPr>
              <w:t>组织环境识别充分、有效。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b/>
                <w:color w:val="000000" w:themeColor="text1"/>
                <w:sz w:val="20"/>
                <w:szCs w:val="20"/>
              </w:rPr>
            </w:pPr>
            <w:r>
              <w:rPr>
                <w:rFonts w:hint="eastAsia"/>
                <w:b/>
                <w:color w:val="000000" w:themeColor="text1"/>
                <w:sz w:val="20"/>
                <w:szCs w:val="20"/>
              </w:rPr>
              <w:t>相关方需求和期望识别情况</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公司识别并确定了利益相关方：顾客、外部供应商、员工及其他为本公司工作的人员或组织等。</w:t>
            </w:r>
          </w:p>
          <w:p>
            <w:pPr>
              <w:spacing w:line="360" w:lineRule="auto"/>
              <w:ind w:firstLine="420" w:firstLineChars="200"/>
              <w:rPr>
                <w:b/>
                <w:color w:val="000000" w:themeColor="text1"/>
                <w:sz w:val="20"/>
                <w:szCs w:val="20"/>
              </w:rPr>
            </w:pPr>
            <w:r>
              <w:rPr>
                <w:rFonts w:hint="eastAsia" w:ascii="宋体" w:hAnsi="宋体" w:eastAsia="宋体" w:cs="宋体"/>
                <w:kern w:val="2"/>
                <w:sz w:val="21"/>
                <w:szCs w:val="21"/>
                <w:lang w:val="en-US" w:eastAsia="zh-CN" w:bidi="ar-SA"/>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left="199" w:leftChars="95"/>
              <w:rPr>
                <w:b/>
                <w:color w:val="000000" w:themeColor="text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宋体"/>
                <w:sz w:val="21"/>
                <w:szCs w:val="21"/>
                <w:lang w:eastAsia="zh-CN"/>
              </w:rPr>
              <w:t>诚信为本，以质量求生存，科技创新，追求行业领先水平。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spacing w:line="360" w:lineRule="auto"/>
              <w:ind w:left="0" w:leftChars="0" w:firstLine="0" w:firstLineChars="0"/>
              <w:rPr>
                <w:b/>
                <w:color w:val="000000" w:themeColor="text1"/>
              </w:rPr>
            </w:pPr>
            <w:r>
              <w:rPr>
                <w:rFonts w:hint="eastAsia"/>
                <w:b w:val="0"/>
                <w:bCs/>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auto"/>
                <w:sz w:val="20"/>
                <w:szCs w:val="20"/>
              </w:rPr>
            </w:pPr>
            <w:r>
              <w:rPr>
                <w:rFonts w:hint="eastAsia"/>
                <w:b/>
                <w:color w:val="auto"/>
                <w:sz w:val="20"/>
                <w:szCs w:val="20"/>
              </w:rPr>
              <w:t>5.</w:t>
            </w:r>
            <w:r>
              <w:rPr>
                <w:b/>
                <w:color w:val="auto"/>
                <w:sz w:val="20"/>
                <w:szCs w:val="20"/>
              </w:rPr>
              <w:t>QMS</w:t>
            </w:r>
            <w:r>
              <w:rPr>
                <w:rFonts w:hint="eastAsia" w:ascii="宋体" w:hAnsi="宋体"/>
                <w:b/>
                <w:color w:val="auto"/>
                <w:sz w:val="20"/>
                <w:szCs w:val="20"/>
              </w:rPr>
              <w:t>过程</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质量管理体系过程有：</w:t>
            </w:r>
            <w:r>
              <w:rPr>
                <w:rFonts w:hint="eastAsia" w:ascii="宋体" w:hAnsi="宋体" w:cs="Times New Roman"/>
                <w:b/>
                <w:color w:val="auto"/>
                <w:sz w:val="20"/>
                <w:szCs w:val="20"/>
                <w:lang w:val="en-US" w:eastAsia="zh-CN"/>
              </w:rPr>
              <w:t xml:space="preserve">原材料采购--机械加工--打磨---检验--出库-客户交付 </w:t>
            </w:r>
          </w:p>
          <w:p>
            <w:pPr>
              <w:tabs>
                <w:tab w:val="left" w:pos="540"/>
              </w:tabs>
              <w:spacing w:line="360" w:lineRule="auto"/>
              <w:ind w:left="201" w:hanging="201" w:hangingChars="100"/>
              <w:rPr>
                <w:rFonts w:hint="eastAsia" w:ascii="宋体" w:hAnsi="宋体" w:eastAsia="宋体"/>
                <w:b/>
                <w:color w:val="auto"/>
                <w:sz w:val="20"/>
                <w:szCs w:val="20"/>
                <w:u w:val="single"/>
                <w:lang w:eastAsia="zh-CN"/>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w:t>
            </w:r>
            <w:r>
              <w:rPr>
                <w:rFonts w:hint="eastAsia" w:ascii="宋体" w:hAnsi="宋体" w:cs="Times New Roman"/>
                <w:b/>
                <w:color w:val="auto"/>
                <w:sz w:val="20"/>
                <w:szCs w:val="20"/>
                <w:lang w:val="en-US" w:eastAsia="zh-CN"/>
              </w:rPr>
              <w:t>精加工</w:t>
            </w:r>
            <w:r>
              <w:rPr>
                <w:rFonts w:hint="eastAsia" w:ascii="宋体" w:hAnsi="宋体"/>
                <w:b/>
                <w:color w:val="auto"/>
                <w:sz w:val="20"/>
                <w:szCs w:val="20"/>
                <w:u w:val="single"/>
                <w:lang w:eastAsia="zh-CN"/>
              </w:rPr>
              <w:t>，</w:t>
            </w:r>
          </w:p>
          <w:p>
            <w:pPr>
              <w:tabs>
                <w:tab w:val="left" w:pos="540"/>
              </w:tabs>
              <w:spacing w:line="360" w:lineRule="auto"/>
              <w:ind w:left="201" w:hanging="201" w:hangingChars="100"/>
              <w:rPr>
                <w:rFonts w:hint="default" w:ascii="宋体" w:hAnsi="宋体"/>
                <w:b/>
                <w:color w:val="auto"/>
                <w:sz w:val="20"/>
                <w:szCs w:val="20"/>
                <w:u w:val="single"/>
                <w:lang w:val="en-US"/>
              </w:rPr>
            </w:pPr>
            <w:r>
              <w:rPr>
                <w:rFonts w:hint="eastAsia" w:ascii="宋体" w:hAnsi="宋体"/>
                <w:b/>
                <w:color w:val="auto"/>
                <w:sz w:val="20"/>
                <w:szCs w:val="20"/>
              </w:rPr>
              <w:t xml:space="preserve">需要确认过程  </w:t>
            </w:r>
            <w:r>
              <w:rPr>
                <w:rFonts w:hint="eastAsia" w:ascii="宋体" w:hAnsi="宋体"/>
                <w:b/>
                <w:color w:val="auto"/>
                <w:sz w:val="20"/>
                <w:szCs w:val="20"/>
                <w:u w:val="single"/>
                <w:lang w:val="en-US" w:eastAsia="zh-CN"/>
              </w:rPr>
              <w:t>无</w:t>
            </w:r>
          </w:p>
          <w:p>
            <w:pPr>
              <w:tabs>
                <w:tab w:val="left" w:pos="540"/>
              </w:tabs>
              <w:spacing w:line="300" w:lineRule="exact"/>
              <w:ind w:left="201" w:hanging="201" w:hangingChars="100"/>
              <w:rPr>
                <w:rFonts w:hint="default" w:ascii="宋体" w:hAnsi="宋体" w:eastAsia="宋体"/>
                <w:b/>
                <w:color w:val="auto"/>
                <w:sz w:val="20"/>
                <w:szCs w:val="20"/>
                <w:lang w:val="en-US" w:eastAsia="zh-CN"/>
              </w:rPr>
            </w:pPr>
            <w:r>
              <w:rPr>
                <w:rFonts w:hint="eastAsia" w:ascii="宋体" w:hAnsi="宋体"/>
                <w:b/>
                <w:color w:val="auto"/>
                <w:sz w:val="20"/>
                <w:szCs w:val="20"/>
              </w:rPr>
              <w:t xml:space="preserve">不适用条款是  </w:t>
            </w:r>
            <w:r>
              <w:rPr>
                <w:rFonts w:hint="eastAsia" w:ascii="宋体" w:hAnsi="宋体"/>
                <w:b/>
                <w:color w:val="auto"/>
                <w:sz w:val="20"/>
                <w:szCs w:val="20"/>
                <w:u w:val="single"/>
                <w:lang w:val="en-US" w:eastAsia="zh-CN"/>
              </w:rPr>
              <w:t>8.3</w:t>
            </w:r>
            <w:r>
              <w:rPr>
                <w:rFonts w:hint="eastAsia" w:ascii="宋体" w:hAnsi="宋体"/>
                <w:b/>
                <w:color w:val="auto"/>
                <w:sz w:val="20"/>
                <w:szCs w:val="20"/>
              </w:rPr>
              <w:t xml:space="preserve"> ，不适用理由： </w:t>
            </w:r>
            <w:r>
              <w:rPr>
                <w:rFonts w:hint="eastAsia" w:ascii="宋体" w:hAnsi="宋体"/>
                <w:b/>
                <w:color w:val="auto"/>
                <w:sz w:val="20"/>
                <w:szCs w:val="20"/>
                <w:lang w:val="en-US" w:eastAsia="zh-CN"/>
              </w:rPr>
              <w:t>公司产品较为固定，有行业标准，企业参与新产品的开发设计。</w:t>
            </w:r>
          </w:p>
          <w:p>
            <w:pPr>
              <w:tabs>
                <w:tab w:val="left" w:pos="540"/>
              </w:tabs>
              <w:spacing w:line="300" w:lineRule="exact"/>
              <w:ind w:left="211" w:leftChars="0"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cs="宋体"/>
                <w:szCs w:val="21"/>
              </w:rPr>
              <w:t>通过培训、开会、发文件等形式将法律法规要求传达给了员工和相关方。</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宋体" w:hAnsi="宋体" w:eastAsia="宋体" w:cs="宋体"/>
                <w:szCs w:val="22"/>
              </w:rPr>
            </w:pPr>
            <w:r>
              <w:rPr>
                <w:rFonts w:hint="eastAsia" w:ascii="宋体" w:hAnsi="宋体" w:eastAsia="宋体" w:cs="宋体"/>
                <w:szCs w:val="22"/>
                <w:lang w:val="en-US" w:eastAsia="zh-CN"/>
              </w:rPr>
              <w:t>1</w:t>
            </w:r>
            <w:r>
              <w:rPr>
                <w:rFonts w:hint="eastAsia" w:ascii="宋体" w:hAnsi="宋体" w:eastAsia="宋体" w:cs="宋体"/>
                <w:szCs w:val="22"/>
              </w:rPr>
              <w:t>产品一次交验合格率： &gt;99% (废品率&lt;1%)</w:t>
            </w:r>
          </w:p>
          <w:p>
            <w:pPr>
              <w:spacing w:line="360" w:lineRule="auto"/>
              <w:rPr>
                <w:rFonts w:hint="eastAsia" w:ascii="宋体" w:hAnsi="宋体" w:eastAsia="宋体" w:cs="宋体"/>
                <w:szCs w:val="22"/>
              </w:rPr>
            </w:pPr>
            <w:r>
              <w:rPr>
                <w:rFonts w:hint="eastAsia" w:ascii="宋体" w:hAnsi="宋体" w:eastAsia="宋体" w:cs="宋体"/>
                <w:szCs w:val="22"/>
                <w:lang w:val="en-US" w:eastAsia="zh-CN"/>
              </w:rPr>
              <w:t>2</w:t>
            </w:r>
            <w:r>
              <w:rPr>
                <w:rFonts w:hint="eastAsia" w:ascii="宋体" w:hAnsi="宋体" w:eastAsia="宋体" w:cs="宋体"/>
                <w:szCs w:val="22"/>
              </w:rPr>
              <w:t>顾客满意率：&gt;95%</w:t>
            </w:r>
          </w:p>
          <w:p>
            <w:pPr>
              <w:spacing w:line="360" w:lineRule="auto"/>
              <w:rPr>
                <w:rFonts w:hint="eastAsia" w:ascii="宋体" w:hAnsi="宋体" w:eastAsia="宋体" w:cs="宋体"/>
                <w:szCs w:val="22"/>
              </w:rPr>
            </w:pPr>
            <w:r>
              <w:rPr>
                <w:rFonts w:hint="eastAsia" w:ascii="宋体" w:hAnsi="宋体" w:eastAsia="宋体" w:cs="宋体"/>
                <w:szCs w:val="22"/>
                <w:lang w:val="en-US" w:eastAsia="zh-CN"/>
              </w:rPr>
              <w:t>3</w:t>
            </w:r>
            <w:r>
              <w:rPr>
                <w:rFonts w:hint="eastAsia" w:ascii="宋体" w:hAnsi="宋体" w:eastAsia="宋体" w:cs="宋体"/>
                <w:szCs w:val="22"/>
              </w:rPr>
              <w:t>合同履约率：100%</w:t>
            </w:r>
          </w:p>
          <w:p>
            <w:pPr>
              <w:spacing w:line="360" w:lineRule="auto"/>
              <w:rPr>
                <w:rFonts w:ascii="宋体" w:hAnsi="宋体"/>
                <w:b/>
                <w:color w:val="000000" w:themeColor="text1"/>
              </w:rPr>
            </w:pPr>
            <w:r>
              <w:rPr>
                <w:rFonts w:hint="eastAsia" w:ascii="宋体" w:hAnsi="宋体" w:eastAsia="宋体" w:cs="宋体"/>
                <w:szCs w:val="22"/>
              </w:rPr>
              <w:t>提供 “目标分解与考核表”、“目标、指标、管理方案一览表”等。目标已分解到各部门，有目标实现的措施和资源、考核方式、考核周期等要求。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w:t>
            </w:r>
            <w:r>
              <w:rPr>
                <w:rFonts w:hint="eastAsia" w:ascii="宋体" w:hAnsi="宋体"/>
                <w:b w:val="0"/>
                <w:bCs/>
                <w:color w:val="000000" w:themeColor="text1"/>
                <w:sz w:val="20"/>
                <w:szCs w:val="20"/>
                <w:lang w:val="en-US" w:eastAsia="zh-CN"/>
              </w:rPr>
              <w:t>6</w:t>
            </w:r>
            <w:r>
              <w:rPr>
                <w:rFonts w:hint="eastAsia" w:ascii="宋体" w:hAnsi="宋体"/>
                <w:b w:val="0"/>
                <w:bCs/>
                <w:color w:val="000000" w:themeColor="text1"/>
                <w:sz w:val="20"/>
                <w:szCs w:val="20"/>
              </w:rPr>
              <w:t>月</w:t>
            </w:r>
            <w:r>
              <w:rPr>
                <w:rFonts w:hint="eastAsia" w:ascii="宋体" w:hAnsi="宋体"/>
                <w:b w:val="0"/>
                <w:bCs/>
                <w:color w:val="000000" w:themeColor="text1"/>
                <w:sz w:val="20"/>
                <w:szCs w:val="20"/>
                <w:lang w:val="en-US" w:eastAsia="zh-CN"/>
              </w:rPr>
              <w:t>8</w:t>
            </w:r>
            <w:r>
              <w:rPr>
                <w:rFonts w:hint="eastAsia" w:ascii="宋体" w:hAnsi="宋体"/>
                <w:b w:val="0"/>
                <w:bCs/>
                <w:color w:val="000000" w:themeColor="text1"/>
                <w:sz w:val="20"/>
                <w:szCs w:val="20"/>
              </w:rPr>
              <w:t>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auto"/>
                <w:sz w:val="20"/>
                <w:szCs w:val="20"/>
              </w:rPr>
            </w:pPr>
            <w:r>
              <w:rPr>
                <w:rFonts w:hint="eastAsia" w:ascii="宋体" w:hAnsi="宋体"/>
                <w:b/>
                <w:color w:val="auto"/>
                <w:sz w:val="20"/>
                <w:szCs w:val="20"/>
              </w:rPr>
              <w:t>人力资源的简要说明</w:t>
            </w:r>
            <w:r>
              <w:rPr>
                <w:rFonts w:hint="eastAsia"/>
                <w:b/>
                <w:color w:val="auto"/>
                <w:sz w:val="20"/>
                <w:szCs w:val="20"/>
                <w:lang w:val="en-US" w:eastAsia="zh-CN"/>
              </w:rPr>
              <w:t xml:space="preserve"> </w:t>
            </w:r>
            <w:r>
              <w:rPr>
                <w:rFonts w:hint="eastAsia" w:ascii="宋体" w:hAnsi="宋体"/>
                <w:b/>
                <w:color w:val="auto"/>
                <w:sz w:val="20"/>
                <w:szCs w:val="20"/>
              </w:rPr>
              <w:t>:</w:t>
            </w:r>
          </w:p>
          <w:p>
            <w:pPr>
              <w:spacing w:line="360" w:lineRule="auto"/>
              <w:ind w:firstLine="400" w:firstLineChars="200"/>
              <w:rPr>
                <w:rFonts w:hint="eastAsia" w:ascii="宋体" w:hAnsi="宋体"/>
                <w:b w:val="0"/>
                <w:bCs/>
                <w:color w:val="auto"/>
                <w:sz w:val="20"/>
                <w:szCs w:val="20"/>
              </w:rPr>
            </w:pPr>
            <w:r>
              <w:rPr>
                <w:rFonts w:hint="eastAsia" w:ascii="宋体" w:hAnsi="宋体"/>
                <w:b w:val="0"/>
                <w:bCs/>
                <w:color w:val="auto"/>
                <w:sz w:val="20"/>
                <w:szCs w:val="20"/>
              </w:rPr>
              <w:t>组织按管理体系需求配置了充足的人员、设施、监视和测量设备等资源，并建立维持了产品的生产及相关服务运行环境，可以维持管理体系的正常运行。</w:t>
            </w:r>
          </w:p>
          <w:p>
            <w:pPr>
              <w:spacing w:line="360" w:lineRule="auto"/>
              <w:rPr>
                <w:rFonts w:ascii="宋体" w:hAnsi="宋体"/>
                <w:b/>
                <w:color w:val="auto"/>
                <w:sz w:val="20"/>
                <w:szCs w:val="20"/>
              </w:rPr>
            </w:pPr>
            <w:r>
              <w:rPr>
                <w:rFonts w:hint="eastAsia" w:ascii="宋体" w:hAnsi="宋体"/>
                <w:b w:val="0"/>
                <w:bCs/>
                <w:color w:val="auto"/>
                <w:sz w:val="20"/>
                <w:szCs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auto"/>
                <w:sz w:val="20"/>
                <w:szCs w:val="20"/>
              </w:rPr>
            </w:pPr>
            <w:r>
              <w:rPr>
                <w:rFonts w:hint="eastAsia" w:ascii="宋体" w:hAnsi="宋体"/>
                <w:b/>
                <w:color w:val="auto"/>
                <w:sz w:val="20"/>
                <w:szCs w:val="20"/>
              </w:rPr>
              <w:t>设备设施（包括信息系统）、</w:t>
            </w:r>
          </w:p>
          <w:p>
            <w:pPr>
              <w:spacing w:line="360" w:lineRule="auto"/>
              <w:rPr>
                <w:rFonts w:hint="eastAsia" w:ascii="宋体" w:hAnsi="宋体"/>
                <w:color w:val="auto"/>
                <w:szCs w:val="21"/>
              </w:rPr>
            </w:pPr>
            <w:r>
              <w:rPr>
                <w:rFonts w:hint="eastAsia" w:ascii="宋体" w:hAnsi="宋体" w:eastAsia="宋体" w:cs="宋体"/>
                <w:color w:val="auto"/>
                <w:sz w:val="21"/>
                <w:szCs w:val="21"/>
                <w:lang w:val="en-US" w:eastAsia="zh-CN"/>
              </w:rPr>
              <w:t>加工中心、卧式铣床、立式钻床、数控车床、摇臂钻床、卧式加工中心、平面磨床、立式铣床、角磨机、精密切割机、装配平台等，</w:t>
            </w:r>
            <w:r>
              <w:rPr>
                <w:rFonts w:hint="eastAsia" w:ascii="宋体" w:hAnsi="宋体" w:eastAsia="宋体" w:cs="宋体"/>
                <w:color w:val="auto"/>
                <w:sz w:val="21"/>
                <w:szCs w:val="21"/>
              </w:rPr>
              <w:t>目前</w:t>
            </w:r>
            <w:r>
              <w:rPr>
                <w:rFonts w:hint="eastAsia" w:ascii="宋体" w:hAnsi="宋体" w:eastAsia="宋体" w:cs="宋体"/>
                <w:color w:val="auto"/>
                <w:sz w:val="21"/>
                <w:szCs w:val="21"/>
                <w:lang w:val="en-US" w:eastAsia="zh-CN"/>
              </w:rPr>
              <w:t>生产、</w:t>
            </w:r>
            <w:r>
              <w:rPr>
                <w:rFonts w:hint="eastAsia" w:ascii="宋体" w:hAnsi="宋体" w:eastAsia="宋体" w:cs="宋体"/>
                <w:color w:val="auto"/>
                <w:sz w:val="21"/>
                <w:szCs w:val="21"/>
              </w:rPr>
              <w:t>办公室等，经过管理体系运行证明，现有资源可满足体系和</w:t>
            </w:r>
            <w:r>
              <w:rPr>
                <w:rFonts w:hint="eastAsia" w:ascii="宋体" w:hAnsi="宋体" w:cs="宋体"/>
                <w:color w:val="auto"/>
                <w:sz w:val="21"/>
                <w:szCs w:val="21"/>
                <w:lang w:val="en-US" w:eastAsia="zh-CN"/>
              </w:rPr>
              <w:t>生产</w:t>
            </w:r>
            <w:r>
              <w:rPr>
                <w:rFonts w:hint="eastAsia" w:ascii="宋体" w:hAnsi="宋体" w:eastAsia="宋体" w:cs="宋体"/>
                <w:color w:val="auto"/>
                <w:sz w:val="21"/>
                <w:szCs w:val="21"/>
              </w:rPr>
              <w:t>的要求</w:t>
            </w:r>
            <w:r>
              <w:rPr>
                <w:rFonts w:hint="eastAsia" w:ascii="宋体" w:hAnsi="宋体"/>
                <w:color w:val="auto"/>
                <w:szCs w:val="21"/>
                <w:lang w:eastAsia="zh-CN"/>
              </w:rPr>
              <w:t>，</w:t>
            </w:r>
            <w:r>
              <w:rPr>
                <w:rFonts w:hint="eastAsia" w:ascii="宋体" w:hAnsi="宋体"/>
                <w:color w:val="auto"/>
                <w:szCs w:val="21"/>
              </w:rPr>
              <w:t>对设备按月方式进行点检维护保养，并实施。</w:t>
            </w:r>
          </w:p>
          <w:p>
            <w:pPr>
              <w:spacing w:line="360" w:lineRule="auto"/>
              <w:rPr>
                <w:rFonts w:ascii="宋体" w:hAnsi="宋体"/>
                <w:b/>
                <w:color w:val="auto"/>
                <w:sz w:val="20"/>
                <w:szCs w:val="20"/>
              </w:rPr>
            </w:pPr>
            <w:r>
              <w:rPr>
                <w:rFonts w:hint="eastAsia" w:ascii="宋体" w:hAnsi="宋体"/>
                <w:color w:val="auto"/>
                <w:szCs w:val="21"/>
              </w:rPr>
              <w:t>特种设备：</w:t>
            </w:r>
            <w:r>
              <w:rPr>
                <w:rFonts w:hint="eastAsia" w:ascii="宋体" w:hAnsi="宋体"/>
                <w:color w:val="auto"/>
                <w:szCs w:val="21"/>
                <w:lang w:val="en-US" w:eastAsia="zh-CN"/>
              </w:rPr>
              <w:t>行车</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auto"/>
                <w:sz w:val="20"/>
                <w:szCs w:val="20"/>
              </w:rPr>
            </w:pPr>
            <w:r>
              <w:rPr>
                <w:rFonts w:hint="eastAsia" w:ascii="宋体" w:hAnsi="宋体"/>
                <w:b/>
                <w:color w:val="auto"/>
                <w:sz w:val="20"/>
                <w:szCs w:val="20"/>
              </w:rPr>
              <w:t>过程运行环境</w:t>
            </w:r>
          </w:p>
          <w:p>
            <w:pPr>
              <w:spacing w:line="360" w:lineRule="auto"/>
              <w:rPr>
                <w:rFonts w:ascii="宋体" w:hAnsi="宋体"/>
                <w:b/>
                <w:color w:val="auto"/>
                <w:sz w:val="20"/>
                <w:szCs w:val="20"/>
              </w:rPr>
            </w:pPr>
            <w:r>
              <w:rPr>
                <w:rFonts w:hint="eastAsia" w:ascii="宋体" w:hAnsi="宋体"/>
                <w:b w:val="0"/>
                <w:bCs/>
                <w:color w:val="auto"/>
                <w:sz w:val="20"/>
                <w:szCs w:val="20"/>
              </w:rPr>
              <w:t>车间内设备布置合理，通道部分不畅通，照明设施齐全，均配备了电风扇、消防设施等设施，作业场所光线较充足。生产区域对环境要求不高，目前工作环境符合生产需要。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auto"/>
                <w:sz w:val="20"/>
                <w:szCs w:val="20"/>
              </w:rPr>
            </w:pPr>
            <w:r>
              <w:rPr>
                <w:rFonts w:hint="eastAsia" w:ascii="宋体" w:hAnsi="宋体"/>
                <w:b/>
                <w:color w:val="auto"/>
                <w:sz w:val="20"/>
                <w:szCs w:val="20"/>
              </w:rPr>
              <w:t>监视和测量资源</w:t>
            </w:r>
          </w:p>
          <w:p>
            <w:pPr>
              <w:spacing w:line="360" w:lineRule="auto"/>
              <w:rPr>
                <w:rFonts w:hint="eastAsia" w:ascii="宋体" w:hAnsi="宋体"/>
                <w:b/>
                <w:color w:val="auto"/>
                <w:sz w:val="20"/>
                <w:szCs w:val="20"/>
              </w:rPr>
            </w:pPr>
            <w:r>
              <w:rPr>
                <w:rFonts w:hint="eastAsia"/>
                <w:color w:val="auto"/>
                <w:szCs w:val="22"/>
              </w:rPr>
              <w:t>生产车间均按策划的要求配置了相应的检测设备，均采用委外送检的方式。主要检测设备有游标卡尺、千分尺、高度尺、深度尺</w:t>
            </w:r>
            <w:r>
              <w:rPr>
                <w:rFonts w:hint="eastAsia" w:ascii="宋体" w:hAnsi="宋体"/>
                <w:color w:val="auto"/>
                <w:szCs w:val="21"/>
              </w:rPr>
              <w:t>等</w:t>
            </w:r>
            <w:r>
              <w:rPr>
                <w:rFonts w:hint="eastAsia"/>
                <w:color w:val="auto"/>
                <w:szCs w:val="22"/>
              </w:rPr>
              <w:t>。</w:t>
            </w:r>
            <w:r>
              <w:rPr>
                <w:rFonts w:hint="eastAsia" w:ascii="宋体" w:hAnsi="宋体"/>
                <w:color w:val="auto"/>
                <w:szCs w:val="21"/>
              </w:rPr>
              <w:t>均能提供在用量具的有效检定或校准证。</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val="0"/>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网络信息，从顾客或外部供方收集的知识）。</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eastAsia="宋体" w:cs="宋体"/>
                <w:sz w:val="21"/>
                <w:szCs w:val="21"/>
                <w:lang w:eastAsia="zh-CN"/>
              </w:rPr>
              <w:t>诚信为本，以质量求生存，科技创新，追求行业领先水平。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内部沟通的效果：</w:t>
            </w:r>
            <w:r>
              <w:rPr>
                <w:rFonts w:hint="eastAsia" w:ascii="宋体" w:hAnsi="宋体" w:eastAsia="宋体" w:cs="宋体"/>
                <w:color w:val="000000"/>
                <w:sz w:val="21"/>
                <w:szCs w:val="21"/>
              </w:rPr>
              <w:t>良好</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color w:val="000000"/>
                <w:sz w:val="21"/>
                <w:szCs w:val="21"/>
              </w:rPr>
              <w:t>采取顾客满意度调查方式了解顾客感受。</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OHSMS事务代表协商和交流的情况（OHSMS填写）：</w:t>
            </w:r>
          </w:p>
          <w:p>
            <w:pPr>
              <w:spacing w:line="360" w:lineRule="auto"/>
              <w:rPr>
                <w:rFonts w:ascii="楷体_GB2312" w:eastAsia="楷体_GB2312"/>
                <w:b/>
                <w:color w:val="000000" w:themeColor="text1"/>
                <w:szCs w:val="21"/>
              </w:rPr>
            </w:pPr>
            <w:r>
              <w:rPr>
                <w:rFonts w:hint="eastAsia" w:ascii="宋体" w:hAnsi="宋体" w:eastAsia="宋体" w:cs="宋体"/>
                <w:b/>
                <w:color w:val="000000" w:themeColor="text1"/>
                <w:sz w:val="2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b/>
                <w:color w:val="000000" w:themeColor="text1"/>
                <w:sz w:val="20"/>
                <w:szCs w:val="20"/>
              </w:rPr>
            </w:pPr>
            <w:r>
              <w:rPr>
                <w:rFonts w:hint="eastAsia"/>
                <w:b w:val="0"/>
                <w:bCs/>
                <w:color w:val="000000" w:themeColor="text1"/>
                <w:sz w:val="20"/>
                <w:szCs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企业产品单一，客户固定，无关键工序和特殊过程，能力满足要求。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企业参考国家行业主要有：铁路机车、车辆用铸造轴承合金锭技术条件TB 1443-1983、机械加工工艺装备基本术语GB/T 1008-2008、技术产品文件 机械加工定位、夹紧符号表示法GB/T 24740-2009、金属切削机床 机械加工件通用技术条件GB/T 25376-2010、机械加工工艺参数表示法JB/T 12392-2015、机械加工工艺方法图形符号JB/T 12393-2015、机械加工定位、夹紧符号JB/T 5061-2006等</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图纸和客户要求。</w:t>
            </w:r>
          </w:p>
          <w:p>
            <w:pPr>
              <w:spacing w:line="300" w:lineRule="exact"/>
              <w:rPr>
                <w:rFonts w:hint="eastAsia" w:ascii="宋体" w:hAnsi="宋体" w:eastAsia="宋体" w:cs="宋体"/>
                <w:b w:val="0"/>
                <w:bCs w:val="0"/>
                <w:color w:val="000000" w:themeColor="text1"/>
                <w:sz w:val="21"/>
                <w:szCs w:val="21"/>
              </w:rPr>
            </w:pPr>
            <w:r>
              <w:rPr>
                <w:rFonts w:hint="eastAsia" w:ascii="宋体" w:hAnsi="宋体" w:eastAsia="宋体" w:cs="宋体"/>
                <w:b w:val="0"/>
                <w:bCs w:val="0"/>
                <w:sz w:val="21"/>
                <w:szCs w:val="21"/>
              </w:rPr>
              <w:t>提供了产品检验记录，产品检验合格，满足顾客要求。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rFonts w:hint="eastAsia"/>
                <w:b w:val="0"/>
                <w:bCs/>
                <w:color w:val="000000" w:themeColor="text1"/>
                <w:sz w:val="20"/>
                <w:szCs w:val="20"/>
              </w:rPr>
              <w:t>提供的《不合格品控制程序》中规定了对不合格品的标识、记录、隔离、记录和处置的控制要求。采购检验中发现的不合格，要求做好相应的标识，并及时通知采购人员作退/换货处理。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ascii="宋体" w:hAnsi="宋体" w:eastAsia="宋体" w:cs="宋体"/>
                <w:sz w:val="21"/>
                <w:szCs w:val="21"/>
                <w:lang w:val="en-US" w:eastAsia="zh-CN"/>
              </w:rPr>
              <w:t>企业的行车租用十堰华顺工贸有限公司的1台，于2020年检完成，结果为合格。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315" w:firstLineChars="1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105" w:leftChars="-50" w:firstLine="0" w:firstLineChars="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20日统计</w:t>
            </w:r>
            <w:r>
              <w:rPr>
                <w:rFonts w:hint="eastAsia" w:ascii="宋体" w:hAnsi="宋体" w:cs="宋体"/>
                <w:color w:val="000000" w:themeColor="text1"/>
                <w:szCs w:val="21"/>
              </w:rPr>
              <w:t>，满意度评价达</w:t>
            </w:r>
            <w:r>
              <w:rPr>
                <w:rFonts w:hint="eastAsia" w:ascii="宋体" w:hAnsi="宋体" w:cs="宋体"/>
                <w:color w:val="000000" w:themeColor="text1"/>
                <w:szCs w:val="21"/>
                <w:lang w:val="en-US" w:eastAsia="zh-CN"/>
              </w:rPr>
              <w:t>98</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pPr>
              <w:spacing w:line="360" w:lineRule="auto"/>
              <w:jc w:val="left"/>
              <w:rPr>
                <w:b/>
                <w:color w:val="000000" w:themeColor="text1"/>
                <w:sz w:val="20"/>
                <w:szCs w:val="20"/>
              </w:rPr>
            </w:pPr>
            <w:r>
              <w:rPr>
                <w:b/>
                <w:color w:val="000000" w:themeColor="text1"/>
                <w:sz w:val="20"/>
                <w:szCs w:val="20"/>
              </w:rPr>
              <w:t xml:space="preserve"> </w:t>
            </w:r>
            <w:r>
              <w:rPr>
                <w:rFonts w:hint="eastAsia" w:ascii="宋体" w:hAnsi="宋体" w:cs="宋体"/>
                <w:szCs w:val="22"/>
              </w:rPr>
              <w:t xml:space="preserve"> 每年一次，本次2020.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15</w:t>
            </w:r>
            <w:r>
              <w:rPr>
                <w:rFonts w:hint="eastAsia" w:ascii="宋体" w:hAnsi="宋体" w:cs="宋体"/>
                <w:szCs w:val="22"/>
              </w:rPr>
              <w:t>日内审。</w:t>
            </w:r>
          </w:p>
          <w:p>
            <w:pPr>
              <w:spacing w:line="360" w:lineRule="auto"/>
              <w:rPr>
                <w:b/>
                <w:color w:val="000000" w:themeColor="text1"/>
                <w:sz w:val="20"/>
                <w:szCs w:val="20"/>
              </w:rPr>
            </w:pPr>
            <w:r>
              <w:rPr>
                <w:rFonts w:hint="eastAsia"/>
                <w:b/>
                <w:color w:val="000000" w:themeColor="text1"/>
                <w:sz w:val="20"/>
                <w:szCs w:val="20"/>
              </w:rPr>
              <w:t>了解内审是否覆盖了管理体系范围内的活动及标准的要求</w:t>
            </w:r>
            <w:r>
              <w:rPr>
                <w:b/>
                <w:color w:val="000000" w:themeColor="text1"/>
                <w:sz w:val="20"/>
                <w:szCs w:val="20"/>
              </w:rPr>
              <w:t xml:space="preserve">; </w:t>
            </w:r>
          </w:p>
          <w:p>
            <w:pPr>
              <w:spacing w:line="360" w:lineRule="auto"/>
              <w:ind w:firstLine="210" w:firstLineChars="100"/>
              <w:rPr>
                <w:rFonts w:asciiTheme="minorEastAsia" w:hAnsiTheme="minorEastAsia" w:eastAsiaTheme="minorEastAsia"/>
                <w:szCs w:val="22"/>
              </w:rPr>
            </w:pPr>
            <w:r>
              <w:rPr>
                <w:rFonts w:hint="eastAsia" w:asciiTheme="minorEastAsia" w:hAnsiTheme="minorEastAsia" w:eastAsiaTheme="minorEastAsia"/>
                <w:szCs w:val="22"/>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360" w:lineRule="auto"/>
              <w:rPr>
                <w:b/>
                <w:color w:val="000000" w:themeColor="text1"/>
                <w:spacing w:val="-8"/>
                <w:sz w:val="20"/>
                <w:szCs w:val="20"/>
              </w:rPr>
            </w:pPr>
            <w:r>
              <w:rPr>
                <w:rFonts w:hint="eastAsia" w:asciiTheme="minorEastAsia" w:hAnsiTheme="minorEastAsia" w:eastAsiaTheme="minorEastAsia"/>
                <w:szCs w:val="22"/>
              </w:rPr>
              <w:t>本公司质量管理体系符合公司管理手册、程序性文件、</w:t>
            </w:r>
            <w:r>
              <w:rPr>
                <w:rFonts w:hint="eastAsia" w:asciiTheme="minorEastAsia" w:hAnsiTheme="minorEastAsia" w:eastAsiaTheme="minorEastAsia"/>
                <w:szCs w:val="22"/>
                <w:lang w:val="en-US" w:eastAsia="zh-CN"/>
              </w:rPr>
              <w:t>GB/T19001-2015</w:t>
            </w:r>
            <w:r>
              <w:rPr>
                <w:rFonts w:hint="eastAsia" w:asciiTheme="minorEastAsia" w:hAnsiTheme="minorEastAsia" w:eastAsiaTheme="minorEastAsia"/>
                <w:szCs w:val="22"/>
              </w:rPr>
              <w:t>的要求，本公司质量管理体系得到了有效实施，运行实施保持了适宜性。</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每年一次，2020.</w:t>
            </w:r>
            <w:r>
              <w:rPr>
                <w:rFonts w:hint="eastAsia" w:ascii="宋体" w:hAnsi="宋体" w:cs="宋体"/>
                <w:szCs w:val="22"/>
                <w:lang w:val="en-US" w:eastAsia="zh-CN"/>
              </w:rPr>
              <w:t>12</w:t>
            </w:r>
            <w:r>
              <w:rPr>
                <w:rFonts w:hint="eastAsia" w:ascii="宋体" w:hAnsi="宋体" w:cs="宋体"/>
                <w:szCs w:val="22"/>
              </w:rPr>
              <w:t>.</w:t>
            </w:r>
            <w:r>
              <w:rPr>
                <w:rFonts w:hint="eastAsia" w:ascii="宋体" w:hAnsi="宋体" w:cs="宋体"/>
                <w:szCs w:val="22"/>
                <w:lang w:val="en-US" w:eastAsia="zh-CN"/>
              </w:rPr>
              <w:t>22</w:t>
            </w:r>
            <w:r>
              <w:rPr>
                <w:rFonts w:hint="eastAsia" w:ascii="宋体" w:hAnsi="宋体" w:cs="宋体"/>
                <w:szCs w:val="22"/>
              </w:rPr>
              <w:t>日管理评审。</w:t>
            </w:r>
          </w:p>
          <w:p>
            <w:pPr>
              <w:spacing w:line="360" w:lineRule="auto"/>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pPr>
              <w:spacing w:line="360" w:lineRule="auto"/>
              <w:ind w:firstLine="420" w:firstLineChars="200"/>
              <w:jc w:val="left"/>
              <w:rPr>
                <w:rFonts w:ascii="宋体" w:hAnsi="宋体" w:cs="宋体"/>
                <w:szCs w:val="22"/>
              </w:rPr>
            </w:pPr>
            <w:r>
              <w:rPr>
                <w:rFonts w:hint="eastAsia" w:ascii="宋体" w:hAnsi="宋体" w:cs="宋体"/>
                <w:szCs w:val="22"/>
              </w:rPr>
              <w:t>输入基本充分。</w:t>
            </w:r>
          </w:p>
          <w:p>
            <w:pPr>
              <w:spacing w:line="360" w:lineRule="auto"/>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pPr>
              <w:spacing w:line="360" w:lineRule="auto"/>
              <w:rPr>
                <w:b/>
                <w:color w:val="000000" w:themeColor="text1"/>
                <w:sz w:val="20"/>
                <w:szCs w:val="20"/>
              </w:rPr>
            </w:pPr>
            <w:r>
              <w:rPr>
                <w:rFonts w:hint="eastAsia" w:asciiTheme="minorEastAsia" w:hAnsiTheme="minorEastAsia" w:eastAsiaTheme="minorEastAsia"/>
                <w:szCs w:val="22"/>
              </w:rPr>
              <w:t>管理体系文件运行是有效的，方针和目标的贯彻是有效的。没有发生质量投诉，运行符合法律法规的要求。领导的重视为体系的运行创造了有利条件。为保证</w:t>
            </w:r>
            <w:r>
              <w:rPr>
                <w:rFonts w:hint="eastAsia" w:asciiTheme="minorEastAsia" w:hAnsiTheme="minorEastAsia" w:eastAsiaTheme="minorEastAsia"/>
                <w:szCs w:val="22"/>
                <w:lang w:val="en-US" w:eastAsia="zh-CN"/>
              </w:rPr>
              <w:t>质量</w:t>
            </w:r>
            <w:r>
              <w:rPr>
                <w:rFonts w:hint="eastAsia" w:asciiTheme="minorEastAsia" w:hAnsiTheme="minorEastAsia" w:eastAsiaTheme="minorEastAsia"/>
                <w:szCs w:val="22"/>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Cs/>
                <w:color w:val="000000" w:themeColor="text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b/>
                <w:color w:val="000000" w:themeColor="text1"/>
                <w:spacing w:val="-20"/>
                <w:sz w:val="20"/>
                <w:szCs w:val="20"/>
              </w:rPr>
              <w:t xml:space="preserve">  </w:t>
            </w:r>
            <w:r>
              <w:rPr>
                <w:rFonts w:hint="eastAsia" w:cs="Times New Roman"/>
                <w:bCs/>
                <w:color w:val="000000" w:themeColor="text1"/>
                <w:szCs w:val="21"/>
                <w:lang w:val="en-US" w:eastAsia="zh-CN"/>
              </w:rPr>
              <w:t>无</w:t>
            </w:r>
            <w:r>
              <w:rPr>
                <w:rFonts w:hint="eastAsia" w:ascii="Times New Roman" w:hAnsi="Times New Roman" w:eastAsia="宋体" w:cs="Times New Roman"/>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360" w:lineRule="auto"/>
              <w:ind w:leftChars="-50"/>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创新情况</w:t>
            </w:r>
          </w:p>
          <w:p>
            <w:pPr>
              <w:numPr>
                <w:ilvl w:val="0"/>
                <w:numId w:val="0"/>
              </w:numPr>
              <w:spacing w:line="360" w:lineRule="auto"/>
              <w:ind w:left="-105" w:leftChars="-50" w:firstLine="402" w:firstLineChars="2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360" w:lineRule="auto"/>
              <w:rPr>
                <w:b/>
                <w:color w:val="000000" w:themeColor="text1"/>
                <w:sz w:val="28"/>
                <w:szCs w:val="28"/>
              </w:rPr>
            </w:pPr>
            <w:r>
              <w:rPr>
                <w:rFonts w:hint="eastAsia" w:ascii="宋体" w:hAnsi="宋体" w:cs="宋体"/>
                <w:bCs/>
                <w:color w:val="000000" w:themeColor="text1"/>
                <w:szCs w:val="21"/>
              </w:rPr>
              <w:t>组织体系运行满足标准要求，既定目标能达成，向顾客提供稳定、合格产品，满足适用的质量法规要求，实施措施基本有效。体系运行基本适宜、充分、有效，基本建立自我完善机制。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vAlign w:val="top"/>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default" w:ascii="宋体" w:hAnsi="宋体" w:eastAsia="宋体"/>
                <w:b/>
                <w:color w:val="000000" w:themeColor="text1"/>
                <w:u w:val="single"/>
                <w:lang w:val="en-US" w:eastAsia="zh-CN"/>
              </w:rPr>
            </w:pPr>
            <w:r>
              <w:rPr>
                <w:rFonts w:ascii="宋体" w:hAnsi="宋体"/>
                <w:b/>
                <w:color w:val="000000" w:themeColor="text1"/>
              </w:rPr>
              <w:t>QMS:</w:t>
            </w:r>
            <w:r>
              <w:rPr>
                <w:rFonts w:hint="eastAsia" w:ascii="宋体" w:hAnsi="宋体"/>
                <w:b/>
                <w:color w:val="000000" w:themeColor="text1"/>
                <w:lang w:val="en-US" w:eastAsia="zh-CN"/>
              </w:rPr>
              <w:t xml:space="preserve"> 铁路机车零部件（特殊资质要求除外）的生产及销售.</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3" w:leftChars="-405" w:hanging="687" w:hangingChars="326"/>
        <w:rPr>
          <w:b/>
          <w:color w:val="000000" w:themeColor="text1"/>
          <w:sz w:val="16"/>
          <w:szCs w:val="16"/>
        </w:rPr>
      </w:pPr>
      <w:r>
        <w:rPr>
          <w:rFonts w:hint="eastAsia" w:ascii="宋体" w:hAnsi="宋体" w:eastAsia="宋体"/>
          <w:b/>
          <w:color w:val="000000"/>
          <w:lang w:eastAsia="zh-CN"/>
        </w:rPr>
        <w:drawing>
          <wp:anchor distT="0" distB="0" distL="114300" distR="114300" simplePos="0" relativeHeight="251661312" behindDoc="0" locked="0" layoutInCell="1" allowOverlap="1">
            <wp:simplePos x="0" y="0"/>
            <wp:positionH relativeFrom="column">
              <wp:posOffset>1539240</wp:posOffset>
            </wp:positionH>
            <wp:positionV relativeFrom="paragraph">
              <wp:posOffset>339725</wp:posOffset>
            </wp:positionV>
            <wp:extent cx="553085" cy="45910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6"/>
                    <a:stretch>
                      <a:fillRect/>
                    </a:stretch>
                  </pic:blipFill>
                  <pic:spPr>
                    <a:xfrm>
                      <a:off x="0" y="0"/>
                      <a:ext cx="553085" cy="45910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r>
        <w:rPr>
          <w:rFonts w:hint="eastAsia" w:ascii="宋体" w:eastAsia="宋体"/>
          <w:b/>
          <w:color w:val="auto"/>
          <w:lang w:eastAsia="zh-CN"/>
        </w:rPr>
        <w:drawing>
          <wp:anchor distT="0" distB="0" distL="114300" distR="114300" simplePos="0" relativeHeight="251662336" behindDoc="0" locked="0" layoutInCell="1" allowOverlap="1">
            <wp:simplePos x="0" y="0"/>
            <wp:positionH relativeFrom="column">
              <wp:posOffset>1580515</wp:posOffset>
            </wp:positionH>
            <wp:positionV relativeFrom="paragraph">
              <wp:posOffset>118745</wp:posOffset>
            </wp:positionV>
            <wp:extent cx="654050" cy="365125"/>
            <wp:effectExtent l="0" t="0" r="6350" b="3175"/>
            <wp:wrapNone/>
            <wp:docPr id="4" name="图片 4" descr="1622537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22537770(1)"/>
                    <pic:cNvPicPr>
                      <a:picLocks noChangeAspect="1"/>
                    </pic:cNvPicPr>
                  </pic:nvPicPr>
                  <pic:blipFill>
                    <a:blip r:embed="rId7"/>
                    <a:stretch>
                      <a:fillRect/>
                    </a:stretch>
                  </pic:blipFill>
                  <pic:spPr>
                    <a:xfrm>
                      <a:off x="0" y="0"/>
                      <a:ext cx="654050" cy="36512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ascii="宋体" w:hAnsi="宋体" w:eastAsia="宋体"/>
          <w:b/>
          <w:color w:val="000000"/>
          <w:lang w:eastAsia="zh-CN"/>
        </w:rPr>
        <w:drawing>
          <wp:anchor distT="0" distB="0" distL="114300" distR="114300" simplePos="0" relativeHeight="251663360" behindDoc="0" locked="0" layoutInCell="1" allowOverlap="1">
            <wp:simplePos x="0" y="0"/>
            <wp:positionH relativeFrom="column">
              <wp:posOffset>643890</wp:posOffset>
            </wp:positionH>
            <wp:positionV relativeFrom="paragraph">
              <wp:posOffset>67945</wp:posOffset>
            </wp:positionV>
            <wp:extent cx="553085" cy="459105"/>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6"/>
                    <a:stretch>
                      <a:fillRect/>
                    </a:stretch>
                  </pic:blipFill>
                  <pic:spPr>
                    <a:xfrm>
                      <a:off x="0" y="0"/>
                      <a:ext cx="553085" cy="45910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2</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bookmarkStart w:id="22" w:name="_GoBack"/>
      <w:bookmarkEnd w:id="22"/>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8FE3F"/>
    <w:multiLevelType w:val="singleLevel"/>
    <w:tmpl w:val="8E98FE3F"/>
    <w:lvl w:ilvl="0" w:tentative="0">
      <w:start w:val="2"/>
      <w:numFmt w:val="decimal"/>
      <w:lvlText w:val="%1."/>
      <w:lvlJc w:val="left"/>
      <w:pPr>
        <w:tabs>
          <w:tab w:val="left" w:pos="312"/>
        </w:tabs>
      </w:pPr>
    </w:lvl>
  </w:abstractNum>
  <w:abstractNum w:abstractNumId="1">
    <w:nsid w:val="48421066"/>
    <w:multiLevelType w:val="singleLevel"/>
    <w:tmpl w:val="48421066"/>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28403B"/>
    <w:rsid w:val="28D87C82"/>
    <w:rsid w:val="3F261129"/>
    <w:rsid w:val="481E7EB7"/>
    <w:rsid w:val="48423B65"/>
    <w:rsid w:val="66420E37"/>
    <w:rsid w:val="6B340DF0"/>
    <w:rsid w:val="7C786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2021-06-02T13:06:24Z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5DF0353A75EE441E94966ADB48FB2BC7</vt:lpwstr>
  </property>
</Properties>
</file>