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0290-2021-Q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湖北三民装备科技有限公司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湖北三民装备科技有限公司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十堰市张湾区工业新区捷达路16号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442100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十堰市张湾区工业新区捷达路16号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442100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沈霞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18872068336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熊斌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沈霞</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1556264310@qq.com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铁路机车零部件（特殊资质要求除外）的生产及销售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22.04.00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部门：办公室、生产技术部、销售部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产品：铁路机车零部件（特殊资质要求除外）的生产及销售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公司部门设置：办公室、生产技术部、销售部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客户的场所：十堰市张湾区工业新区捷达路16号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受审核方位于：十堰市张湾区工业新区捷达路16号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w:t>
            </w:r>
            <w:r>
              <w:rPr>
                <w:rFonts w:hint="eastAsia" w:ascii="宋体" w:hAnsi="宋体"/>
                <w:color w:val="auto"/>
                <w:spacing w:val="-10"/>
                <w:sz w:val="20"/>
                <w:szCs w:val="20"/>
              </w:rPr>
              <w:t>准号：铁路机车、车辆用铸造轴承合金锭技术条件TB 1443-1983、机械加工工艺装备基本术语GB/T 1008-2008、技术产品文件 机械加工定位、夹紧符号表示法GB/T 24740-2009、金属切削机床 机械加工件通用技术条件GB/T 25376-2010、机械加工工艺参数表示法JB/T 12392-2015、机械加工工艺方法图形符号JB/T 12393-2015、机械加工定位、夹紧符号JB/T 5061-2006等□合同：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原材料采购--机械加工--打磨---检验--出库-客户交付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color w:val="000000"/>
                <w:sz w:val="20"/>
                <w:szCs w:val="20"/>
              </w:rPr>
              <w:t>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表面处理、热处理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eastAsia="宋体" w:cs="宋体"/>
                <w:color w:val="auto"/>
                <w:sz w:val="21"/>
                <w:szCs w:val="21"/>
              </w:rPr>
              <w:t>加工中心、卧式铣床、立式钻床、数控车床、摇臂钻床、卧式加工中心、平面磨床、立式铣床、角磨机、精密切割机、装配平台等</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auto"/>
                <w:sz w:val="20"/>
                <w:szCs w:val="20"/>
              </w:rPr>
              <w:t>：</w:t>
            </w:r>
            <w:r>
              <w:rPr>
                <w:rFonts w:hint="eastAsia" w:ascii="宋体"/>
                <w:color w:val="auto"/>
                <w:sz w:val="20"/>
                <w:szCs w:val="20"/>
                <w:lang w:val="en-US" w:eastAsia="zh-CN"/>
              </w:rPr>
              <w:t>千分尺、百分表、游标卡尺等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重点审核部门：生产技术部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办公室</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12</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15</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ascii="宋体" w:hAnsi="宋体" w:eastAsia="宋体" w:cs="宋体"/>
                <w:sz w:val="21"/>
                <w:szCs w:val="21"/>
              </w:rPr>
              <w:t>组长：陈健    组员：熊毅</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22</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范围无变化见初定的管理体系认证范围：铁路机车零部件（特殊资质要求除外）的生产及销售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hint="eastAsia" w:ascii="宋体" w:hAnsi="宋体" w:eastAsia="宋体"/>
          <w:b/>
          <w:color w:val="000000"/>
          <w:lang w:eastAsia="zh-CN"/>
        </w:rPr>
        <w:drawing>
          <wp:anchor distT="0" distB="0" distL="114300" distR="114300" simplePos="0" relativeHeight="251659264" behindDoc="0" locked="0" layoutInCell="1" allowOverlap="1">
            <wp:simplePos x="0" y="0"/>
            <wp:positionH relativeFrom="column">
              <wp:posOffset>1729740</wp:posOffset>
            </wp:positionH>
            <wp:positionV relativeFrom="paragraph">
              <wp:posOffset>283210</wp:posOffset>
            </wp:positionV>
            <wp:extent cx="553085" cy="45910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53085" cy="459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eastAsia="宋体"/>
          <w:b/>
          <w:color w:val="000000"/>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4" w:name="_GoBack"/>
      <w:bookmarkEnd w:id="24"/>
    </w:p>
    <w:p>
      <w:pPr>
        <w:pStyle w:val="2"/>
      </w:pPr>
      <w:r>
        <w:rPr>
          <w:rFonts w:hint="eastAsia" w:ascii="宋体" w:eastAsia="宋体"/>
          <w:b/>
          <w:color w:val="auto"/>
          <w:lang w:eastAsia="zh-CN"/>
        </w:rPr>
        <w:drawing>
          <wp:anchor distT="0" distB="0" distL="114300" distR="114300" simplePos="0" relativeHeight="251660288" behindDoc="0" locked="0" layoutInCell="1" allowOverlap="1">
            <wp:simplePos x="0" y="0"/>
            <wp:positionH relativeFrom="column">
              <wp:posOffset>1771015</wp:posOffset>
            </wp:positionH>
            <wp:positionV relativeFrom="paragraph">
              <wp:posOffset>281940</wp:posOffset>
            </wp:positionV>
            <wp:extent cx="654050" cy="365125"/>
            <wp:effectExtent l="0" t="0" r="6350" b="3175"/>
            <wp:wrapNone/>
            <wp:docPr id="3" name="图片 3" descr="1622537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2537770(1)"/>
                    <pic:cNvPicPr>
                      <a:picLocks noChangeAspect="1"/>
                    </pic:cNvPicPr>
                  </pic:nvPicPr>
                  <pic:blipFill>
                    <a:blip r:embed="rId7"/>
                    <a:stretch>
                      <a:fillRect/>
                    </a:stretch>
                  </pic:blipFill>
                  <pic:spPr>
                    <a:xfrm>
                      <a:off x="0" y="0"/>
                      <a:ext cx="654050" cy="365125"/>
                    </a:xfrm>
                    <a:prstGeom prst="rect">
                      <a:avLst/>
                    </a:prstGeom>
                  </pic:spPr>
                </pic:pic>
              </a:graphicData>
            </a:graphic>
          </wp:anchor>
        </w:drawing>
      </w:r>
    </w:p>
    <w:p>
      <w:pPr>
        <w:spacing w:line="400" w:lineRule="exact"/>
        <w:ind w:firstLine="843" w:firstLineChars="400"/>
        <w:rPr>
          <w:rFonts w:hint="eastAsia" w:ascii="宋体" w:eastAsia="宋体"/>
          <w:b/>
          <w:color w:val="auto"/>
          <w:lang w:eastAsia="zh-CN"/>
        </w:rPr>
      </w:pPr>
      <w:r>
        <w:rPr>
          <w:rFonts w:hint="eastAsia" w:ascii="宋体" w:hAnsi="宋体"/>
          <w:b/>
          <w:color w:val="auto"/>
        </w:rPr>
        <w:t>审核组组员</w:t>
      </w:r>
      <w:r>
        <w:rPr>
          <w:rFonts w:ascii="宋体" w:hAnsi="宋体"/>
          <w:b/>
          <w:color w:val="auto"/>
        </w:rPr>
        <w:t>(</w:t>
      </w:r>
      <w:r>
        <w:rPr>
          <w:rFonts w:hint="eastAsia" w:ascii="宋体" w:hAnsi="宋体"/>
          <w:b/>
          <w:color w:val="auto"/>
        </w:rPr>
        <w:t>签名</w:t>
      </w:r>
      <w:r>
        <w:rPr>
          <w:rFonts w:ascii="宋体" w:hAnsi="宋体"/>
          <w:b/>
          <w:color w:val="auto"/>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14582"/>
    <w:rsid w:val="10BF1A0C"/>
    <w:rsid w:val="121D543E"/>
    <w:rsid w:val="13A079C9"/>
    <w:rsid w:val="237B47BF"/>
    <w:rsid w:val="23C3651E"/>
    <w:rsid w:val="2B0429BE"/>
    <w:rsid w:val="5CA47626"/>
    <w:rsid w:val="5DC26FE6"/>
    <w:rsid w:val="66AC33D2"/>
    <w:rsid w:val="6C0A371F"/>
    <w:rsid w:val="71DC390F"/>
    <w:rsid w:val="7FE14034"/>
    <w:rsid w:val="7FEA1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2021-06-01T08:56:31Z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FD731D8FA13A4858919AEB883E442475</vt:lpwstr>
  </property>
</Properties>
</file>