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26"/>
        <w:gridCol w:w="1023"/>
        <w:gridCol w:w="881"/>
        <w:gridCol w:w="1290"/>
        <w:gridCol w:w="1211"/>
        <w:gridCol w:w="1364"/>
        <w:gridCol w:w="20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3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成都通德药业有限公司</w:t>
            </w:r>
            <w:bookmarkEnd w:id="4"/>
          </w:p>
        </w:tc>
        <w:tc>
          <w:tcPr>
            <w:tcW w:w="13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Q：13.01.00;13.02.00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E：13.01.00;13.02.00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张安玲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任亚辉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sz w:val="15"/>
                <w:szCs w:val="15"/>
                <w:lang w:val="en-US" w:eastAsia="zh-CN"/>
              </w:rPr>
              <w:t>Q:13.02.00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b/>
                <w:sz w:val="15"/>
                <w:szCs w:val="15"/>
                <w:lang w:val="en-US" w:eastAsia="zh-CN"/>
              </w:rPr>
              <w:t>E:13.02.00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原料药：原料→浸提→脱色→过滤浓缩→析晶→过滤→二次脱色→重结晶→干燥→粉碎→包装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固体制剂：原辅料→称量配料→制粒、干燥→整粒→总混→（压片、充填）→分装→外包装→成品入库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粉针剂：原辅料→配液→洗瓶→灌装→冻干→轧盖→灯检→外包</w:t>
            </w:r>
            <w:r>
              <w:rPr>
                <w:rFonts w:hint="eastAsia"/>
                <w:b/>
                <w:sz w:val="20"/>
                <w:lang w:val="en-US" w:eastAsia="zh-CN"/>
              </w:rPr>
              <w:t>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关键过程：制粒干燥处理过程、冻干过程、过滤脱过程色，同时也为特殊过程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控制措施：建立有相应的过程作业指导书。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；2）噪声的排放；3）固体废弃物（含危废）排放；4）废水；5）粉尘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  <w:t>中华人民共和国民法典、中华人民共和国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  <w:t>劳动法、中华人民共和国安全消防法、中华人民共和国劳动合同法、《药品生产质量管理规范》（2010年修订），《中华人民共和国药品管理法》（2019年修订）、《药品生产监督管理办法》、《中华人民共和国药品管理法实施条例》、《药品注册管理办法》、中国药典2015年版二部、国家食品药品监督管理总局药品标准YBH00662017、国家药品标准WS1-XG-011-2015、国家药品标准WS1-(YH-002)-2010-2017、国家食品药品监督管理局国家药品标准WS-10001-（HD-0841）-2002、国家食品药品监督管理局国家药品标准(试行）WS-10001-（HD-0214）-2002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提供由四川省食品药品检验检测院出具的第三方药品检验报告，详见附件。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177165</wp:posOffset>
            </wp:positionV>
            <wp:extent cx="502920" cy="255905"/>
            <wp:effectExtent l="0" t="0" r="11430" b="10795"/>
            <wp:wrapSquare wrapText="bothSides"/>
            <wp:docPr id="51" name="图片 51" descr="16214023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16214023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77470</wp:posOffset>
            </wp:positionV>
            <wp:extent cx="425450" cy="300990"/>
            <wp:effectExtent l="0" t="0" r="12700" b="3810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>2021.05.15</w:t>
      </w:r>
      <w:r>
        <w:rPr>
          <w:rFonts w:hint="eastAsia" w:ascii="宋体"/>
          <w:b/>
          <w:sz w:val="22"/>
          <w:szCs w:val="22"/>
        </w:rPr>
        <w:t xml:space="preserve">       审核组长：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2021.05.15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07E9C"/>
    <w:rsid w:val="09131CA4"/>
    <w:rsid w:val="09D0531A"/>
    <w:rsid w:val="0A7617EE"/>
    <w:rsid w:val="121117A5"/>
    <w:rsid w:val="1B4D6360"/>
    <w:rsid w:val="1B6F71E7"/>
    <w:rsid w:val="1BDD4EDD"/>
    <w:rsid w:val="21741EA8"/>
    <w:rsid w:val="21BD40E6"/>
    <w:rsid w:val="2725468C"/>
    <w:rsid w:val="291B4B80"/>
    <w:rsid w:val="35CA45C4"/>
    <w:rsid w:val="394559D5"/>
    <w:rsid w:val="3BD71525"/>
    <w:rsid w:val="3FE66808"/>
    <w:rsid w:val="4B066FAB"/>
    <w:rsid w:val="54830AC7"/>
    <w:rsid w:val="5ED757B6"/>
    <w:rsid w:val="608E6416"/>
    <w:rsid w:val="628D5133"/>
    <w:rsid w:val="64D80986"/>
    <w:rsid w:val="65F614F0"/>
    <w:rsid w:val="6B8A3DE9"/>
    <w:rsid w:val="6D633268"/>
    <w:rsid w:val="6D8223AF"/>
    <w:rsid w:val="704D7626"/>
    <w:rsid w:val="72EB19C8"/>
    <w:rsid w:val="7A8B0E81"/>
    <w:rsid w:val="7BE84B09"/>
    <w:rsid w:val="7DA16C02"/>
    <w:rsid w:val="7EF11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2021-05-19T05:36:59Z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E25EEFD3A3004B0BAE49892BDF9CC37C</vt:lpwstr>
  </property>
</Properties>
</file>