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江西锐克斯科技有限公司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褚敏杰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Q:12.03.00</w:t>
            </w:r>
          </w:p>
          <w:p>
            <w:pPr>
              <w:spacing w:line="240" w:lineRule="exact"/>
              <w:jc w:val="center"/>
              <w:rPr>
                <w:b/>
                <w:color w:val="000000" w:themeColor="text1"/>
                <w:sz w:val="20"/>
                <w:szCs w:val="20"/>
              </w:rPr>
            </w:pPr>
            <w:r>
              <w:rPr>
                <w:b/>
                <w:color w:val="000000" w:themeColor="text1"/>
                <w:sz w:val="20"/>
                <w:szCs w:val="20"/>
              </w:rPr>
              <w:t>E:12.03.00</w:t>
            </w:r>
          </w:p>
          <w:p>
            <w:pPr>
              <w:spacing w:line="240" w:lineRule="exact"/>
              <w:jc w:val="center"/>
              <w:rPr>
                <w:b/>
                <w:color w:val="000000" w:themeColor="text1"/>
                <w:sz w:val="20"/>
                <w:szCs w:val="20"/>
              </w:rPr>
            </w:pPr>
            <w:r>
              <w:rPr>
                <w:b/>
                <w:color w:val="000000" w:themeColor="text1"/>
                <w:sz w:val="20"/>
                <w:szCs w:val="20"/>
              </w:rPr>
              <w:t>O:12.03.00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王景玲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488"/>
        <w:gridCol w:w="1212"/>
        <w:gridCol w:w="282"/>
        <w:gridCol w:w="987"/>
        <w:gridCol w:w="531"/>
        <w:gridCol w:w="603"/>
        <w:gridCol w:w="673"/>
        <w:gridCol w:w="320"/>
        <w:gridCol w:w="564"/>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00" w:type="dxa"/>
            <w:gridSpan w:val="5"/>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江西锐克斯科技有限公司</w:t>
            </w:r>
            <w:bookmarkEnd w:id="5"/>
          </w:p>
        </w:tc>
        <w:tc>
          <w:tcPr>
            <w:tcW w:w="1276" w:type="dxa"/>
            <w:gridSpan w:val="2"/>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181" w:type="dxa"/>
            <w:gridSpan w:val="3"/>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5776" w:type="dxa"/>
            <w:gridSpan w:val="7"/>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江西省樟树市阁山镇</w:t>
            </w:r>
            <w:bookmarkEnd w:id="7"/>
          </w:p>
        </w:tc>
        <w:tc>
          <w:tcPr>
            <w:tcW w:w="884" w:type="dxa"/>
            <w:gridSpan w:val="2"/>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eastAsia="宋体" w:cs="Times New Roman"/>
                <w:b/>
                <w:color w:val="000000" w:themeColor="text1"/>
                <w:sz w:val="20"/>
                <w:szCs w:val="20"/>
              </w:rPr>
              <w:t>331200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5776" w:type="dxa"/>
            <w:gridSpan w:val="7"/>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江西省樟树市阁山镇</w:t>
            </w:r>
            <w:bookmarkEnd w:id="9"/>
          </w:p>
        </w:tc>
        <w:tc>
          <w:tcPr>
            <w:tcW w:w="884" w:type="dxa"/>
            <w:gridSpan w:val="2"/>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331200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5776" w:type="dxa"/>
            <w:gridSpan w:val="7"/>
          </w:tcPr>
          <w:p>
            <w:pPr>
              <w:spacing w:line="320" w:lineRule="exact"/>
              <w:rPr>
                <w:rFonts w:ascii="宋体" w:hAnsi="宋体"/>
                <w:b/>
                <w:color w:val="000000" w:themeColor="text1"/>
                <w:sz w:val="20"/>
                <w:szCs w:val="20"/>
              </w:rPr>
            </w:pPr>
          </w:p>
        </w:tc>
        <w:tc>
          <w:tcPr>
            <w:tcW w:w="884" w:type="dxa"/>
            <w:gridSpan w:val="2"/>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5776" w:type="dxa"/>
            <w:gridSpan w:val="7"/>
          </w:tcPr>
          <w:p>
            <w:pPr>
              <w:spacing w:line="320" w:lineRule="exact"/>
              <w:rPr>
                <w:rFonts w:ascii="宋体" w:hAnsi="宋体"/>
                <w:b/>
                <w:color w:val="000000" w:themeColor="text1"/>
                <w:sz w:val="20"/>
                <w:szCs w:val="20"/>
              </w:rPr>
            </w:pPr>
          </w:p>
        </w:tc>
        <w:tc>
          <w:tcPr>
            <w:tcW w:w="884" w:type="dxa"/>
            <w:gridSpan w:val="2"/>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5776" w:type="dxa"/>
            <w:gridSpan w:val="7"/>
          </w:tcPr>
          <w:p>
            <w:pPr>
              <w:spacing w:line="320" w:lineRule="exact"/>
              <w:rPr>
                <w:rFonts w:ascii="宋体" w:hAnsi="宋体"/>
                <w:b/>
                <w:color w:val="000000" w:themeColor="text1"/>
                <w:sz w:val="20"/>
                <w:szCs w:val="20"/>
              </w:rPr>
            </w:pPr>
          </w:p>
        </w:tc>
        <w:tc>
          <w:tcPr>
            <w:tcW w:w="884" w:type="dxa"/>
            <w:gridSpan w:val="2"/>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488"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刘增锦</w:t>
            </w:r>
            <w:bookmarkEnd w:id="11"/>
          </w:p>
        </w:tc>
        <w:tc>
          <w:tcPr>
            <w:tcW w:w="1494"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518" w:type="dxa"/>
            <w:gridSpan w:val="2"/>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18370530772</w:t>
            </w:r>
            <w:bookmarkEnd w:id="12"/>
          </w:p>
        </w:tc>
        <w:tc>
          <w:tcPr>
            <w:tcW w:w="1276" w:type="dxa"/>
            <w:gridSpan w:val="2"/>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181" w:type="dxa"/>
            <w:gridSpan w:val="3"/>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488"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聂建春</w:t>
            </w:r>
            <w:bookmarkEnd w:id="14"/>
          </w:p>
        </w:tc>
        <w:tc>
          <w:tcPr>
            <w:tcW w:w="1494"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276" w:type="dxa"/>
            <w:gridSpan w:val="2"/>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181" w:type="dxa"/>
            <w:gridSpan w:val="3"/>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刘建良</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0"/>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Q：静电粉末的生产</w:t>
            </w:r>
          </w:p>
          <w:p>
            <w:pPr>
              <w:spacing w:line="320" w:lineRule="exact"/>
              <w:rPr>
                <w:rFonts w:ascii="宋体" w:hAnsi="宋体"/>
                <w:b/>
                <w:color w:val="000000" w:themeColor="text1"/>
                <w:sz w:val="20"/>
                <w:szCs w:val="20"/>
              </w:rPr>
            </w:pPr>
            <w:r>
              <w:rPr>
                <w:rFonts w:ascii="宋体" w:hAnsi="宋体"/>
                <w:b/>
                <w:color w:val="000000" w:themeColor="text1"/>
                <w:sz w:val="20"/>
                <w:szCs w:val="20"/>
              </w:rPr>
              <w:t>E：静电粉末的生产所涉及场所的相关环境管理活动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O：静电粉末的生产所涉及场所的相关职业健康安全管理活动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Q：12.03.00</w:t>
            </w:r>
          </w:p>
          <w:p>
            <w:pPr>
              <w:spacing w:line="320" w:lineRule="exact"/>
              <w:rPr>
                <w:rFonts w:ascii="宋体" w:hAnsi="宋体"/>
                <w:b/>
                <w:color w:val="000000" w:themeColor="text1"/>
                <w:sz w:val="20"/>
                <w:szCs w:val="20"/>
              </w:rPr>
            </w:pPr>
            <w:r>
              <w:rPr>
                <w:rFonts w:ascii="宋体" w:hAnsi="宋体"/>
                <w:b/>
                <w:color w:val="000000" w:themeColor="text1"/>
                <w:sz w:val="20"/>
                <w:szCs w:val="20"/>
              </w:rPr>
              <w:t>E：12.03.00</w:t>
            </w:r>
          </w:p>
          <w:p>
            <w:pPr>
              <w:spacing w:line="320" w:lineRule="exact"/>
              <w:rPr>
                <w:rFonts w:ascii="宋体" w:hAnsi="宋体"/>
                <w:b/>
                <w:color w:val="000000" w:themeColor="text1"/>
                <w:sz w:val="20"/>
                <w:szCs w:val="20"/>
              </w:rPr>
            </w:pPr>
            <w:r>
              <w:rPr>
                <w:rFonts w:ascii="宋体" w:hAnsi="宋体"/>
                <w:b/>
                <w:color w:val="000000" w:themeColor="text1"/>
                <w:sz w:val="20"/>
                <w:szCs w:val="20"/>
              </w:rPr>
              <w:t>O：12.03.00</w:t>
            </w:r>
            <w:bookmarkEnd w:id="18"/>
          </w:p>
        </w:tc>
        <w:tc>
          <w:tcPr>
            <w:tcW w:w="2127" w:type="dxa"/>
            <w:gridSpan w:val="4"/>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2"/>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2020-11-10 0:00:00</w:t>
            </w:r>
            <w:bookmarkEnd w:id="19"/>
          </w:p>
        </w:tc>
        <w:tc>
          <w:tcPr>
            <w:tcW w:w="2403" w:type="dxa"/>
            <w:gridSpan w:val="4"/>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4"/>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0"/>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0"/>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3"/>
        <w:gridCol w:w="8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8300"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办公室</w:t>
            </w:r>
          </w:p>
        </w:tc>
        <w:tc>
          <w:tcPr>
            <w:tcW w:w="8300" w:type="dxa"/>
          </w:tcPr>
          <w:p>
            <w:pPr>
              <w:jc w:val="center"/>
              <w:rPr>
                <w:rFonts w:hint="default" w:ascii="宋体" w:hAnsi="宋体" w:eastAsia="宋体"/>
                <w:b/>
                <w:color w:val="000000" w:themeColor="text1"/>
                <w:spacing w:val="-20"/>
                <w:sz w:val="20"/>
                <w:szCs w:val="20"/>
                <w:u w:val="single"/>
                <w:lang w:val="en-US" w:eastAsia="zh-CN"/>
              </w:rPr>
            </w:pPr>
            <w:r>
              <w:rPr>
                <w:rFonts w:hint="eastAsia"/>
                <w:b/>
                <w:bCs/>
                <w:lang w:val="en-US" w:eastAsia="zh-CN"/>
              </w:rPr>
              <w:t>目标管理、资源（人员能力）管理、文件管理、内审、监测分析及环境和职业健康过程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供销部</w:t>
            </w:r>
          </w:p>
        </w:tc>
        <w:tc>
          <w:tcPr>
            <w:tcW w:w="8300" w:type="dxa"/>
          </w:tcPr>
          <w:p>
            <w:pPr>
              <w:jc w:val="left"/>
              <w:rPr>
                <w:rFonts w:hint="default" w:ascii="宋体" w:hAnsi="宋体" w:eastAsia="宋体" w:cs="Times New Roman"/>
                <w:b/>
                <w:color w:val="000000" w:themeColor="text1"/>
                <w:sz w:val="20"/>
                <w:szCs w:val="20"/>
                <w:lang w:val="en-US" w:eastAsia="zh-CN"/>
              </w:rPr>
            </w:pPr>
            <w:r>
              <w:rPr>
                <w:rFonts w:hint="eastAsia" w:ascii="宋体" w:hAnsi="宋体" w:eastAsia="宋体" w:cs="Times New Roman"/>
                <w:b/>
                <w:color w:val="000000" w:themeColor="text1"/>
                <w:sz w:val="20"/>
                <w:szCs w:val="20"/>
                <w:lang w:val="en-US" w:eastAsia="zh-CN"/>
              </w:rPr>
              <w:t>顾客要求、</w:t>
            </w:r>
            <w:r>
              <w:rPr>
                <w:rFonts w:hint="eastAsia"/>
                <w:b/>
                <w:bCs/>
                <w:lang w:val="en-US" w:eastAsia="zh-CN"/>
              </w:rPr>
              <w:t>外部提供过程控制、顾客要求、顾客财产、交付后活动、顾客满意及环境和职业健康安全过程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生产部</w:t>
            </w:r>
          </w:p>
        </w:tc>
        <w:tc>
          <w:tcPr>
            <w:tcW w:w="8300" w:type="dxa"/>
          </w:tcPr>
          <w:p>
            <w:pPr>
              <w:jc w:val="left"/>
              <w:rPr>
                <w:rFonts w:hint="default" w:ascii="宋体" w:hAnsi="宋体" w:eastAsia="宋体" w:cs="Times New Roman"/>
                <w:b/>
                <w:color w:val="000000" w:themeColor="text1"/>
                <w:sz w:val="20"/>
                <w:szCs w:val="20"/>
                <w:lang w:val="en-US" w:eastAsia="zh-CN"/>
              </w:rPr>
            </w:pPr>
            <w:r>
              <w:rPr>
                <w:rFonts w:hint="eastAsia" w:ascii="宋体" w:hAnsi="宋体" w:eastAsia="宋体" w:cs="Times New Roman"/>
                <w:b/>
                <w:color w:val="000000" w:themeColor="text1"/>
                <w:sz w:val="20"/>
                <w:szCs w:val="20"/>
                <w:lang w:val="en-US" w:eastAsia="zh-CN"/>
              </w:rPr>
              <w:t>策划、</w:t>
            </w:r>
            <w:r>
              <w:rPr>
                <w:rFonts w:hint="eastAsia"/>
                <w:b/>
                <w:bCs/>
                <w:lang w:val="en-US" w:eastAsia="zh-CN"/>
              </w:rPr>
              <w:t>服务提供过程</w:t>
            </w:r>
            <w:r>
              <w:rPr>
                <w:rFonts w:hint="eastAsia" w:ascii="宋体" w:hAnsi="宋体" w:eastAsia="宋体" w:cs="Times New Roman"/>
                <w:b/>
                <w:color w:val="000000" w:themeColor="text1"/>
                <w:sz w:val="20"/>
                <w:szCs w:val="20"/>
                <w:lang w:val="en-US" w:eastAsia="zh-CN"/>
              </w:rPr>
              <w:t>、放行、</w:t>
            </w:r>
            <w:r>
              <w:rPr>
                <w:rFonts w:hint="eastAsia"/>
                <w:b/>
                <w:bCs/>
                <w:lang w:val="en-US" w:eastAsia="zh-CN"/>
              </w:rPr>
              <w:t>放行、不合格品控制及环境和职业健康安全过程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tcPr>
          <w:p>
            <w:pPr>
              <w:jc w:val="center"/>
              <w:rPr>
                <w:rFonts w:ascii="宋体" w:hAnsi="宋体"/>
                <w:b/>
                <w:color w:val="000000" w:themeColor="text1"/>
                <w:sz w:val="20"/>
                <w:szCs w:val="20"/>
              </w:rPr>
            </w:pPr>
          </w:p>
        </w:tc>
        <w:tc>
          <w:tcPr>
            <w:tcW w:w="8300" w:type="dxa"/>
          </w:tcPr>
          <w:p>
            <w:pPr>
              <w:jc w:val="center"/>
              <w:rPr>
                <w:rFonts w:hint="eastAsia" w:ascii="宋体" w:hAnsi="宋体" w:eastAsia="宋体" w:cs="Times New Roman"/>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3" w:type="dxa"/>
          </w:tcPr>
          <w:p>
            <w:pPr>
              <w:rPr>
                <w:rFonts w:ascii="宋体" w:hAnsi="宋体"/>
                <w:b/>
                <w:color w:val="000000" w:themeColor="text1"/>
                <w:szCs w:val="21"/>
              </w:rPr>
            </w:pPr>
          </w:p>
        </w:tc>
        <w:tc>
          <w:tcPr>
            <w:tcW w:w="8300"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default" w:eastAsia="宋体"/>
                <w:b/>
                <w:color w:val="000000" w:themeColor="text1"/>
                <w:sz w:val="20"/>
                <w:szCs w:val="20"/>
                <w:lang w:val="en-US" w:eastAsia="zh-CN"/>
              </w:rPr>
            </w:pPr>
            <w:r>
              <w:rPr>
                <w:rFonts w:hint="eastAsia"/>
                <w:b/>
                <w:color w:val="000000" w:themeColor="text1"/>
                <w:sz w:val="20"/>
                <w:szCs w:val="20"/>
                <w:lang w:val="en-US" w:eastAsia="zh-CN"/>
              </w:rPr>
              <w:t>静电粉末的生产</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ascii="宋体" w:hAnsi="宋体" w:cs="Arial"/>
                <w:color w:val="auto"/>
                <w:spacing w:val="-6"/>
                <w:sz w:val="21"/>
                <w:szCs w:val="21"/>
                <w:highlight w:val="none"/>
                <w:lang w:val="en-US" w:eastAsia="zh-CN"/>
              </w:rPr>
              <w:t>HG/T2006-2006热固性粉末涂料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11</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5</w:t>
      </w:r>
      <w:r>
        <w:rPr>
          <w:rFonts w:hint="eastAsia"/>
          <w:b/>
          <w:color w:val="000000" w:themeColor="text1"/>
          <w:spacing w:val="-10"/>
          <w:szCs w:val="21"/>
        </w:rPr>
        <w:t>月</w:t>
      </w:r>
      <w:r>
        <w:rPr>
          <w:rFonts w:hint="eastAsia"/>
          <w:b/>
          <w:color w:val="000000" w:themeColor="text1"/>
          <w:spacing w:val="-10"/>
          <w:szCs w:val="21"/>
          <w:lang w:val="en-US" w:eastAsia="zh-CN"/>
        </w:rPr>
        <w:t>5</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rPr>
            </w:pPr>
            <w:r>
              <w:t>1、</w:t>
            </w:r>
            <w:r>
              <w:rPr>
                <w:rFonts w:hint="eastAsia"/>
              </w:rPr>
              <w:t>组织及其环境的识别情况</w:t>
            </w:r>
          </w:p>
          <w:p>
            <w:pPr>
              <w:pStyle w:val="2"/>
              <w:rPr>
                <w:rFonts w:hint="eastAsia"/>
              </w:rPr>
            </w:pPr>
            <w:r>
              <w:rPr>
                <w:rFonts w:hint="eastAsia"/>
              </w:rPr>
              <w:t>江西锐克斯科技有限公司成立于2000年5月，注册资金600万元；</w:t>
            </w:r>
          </w:p>
          <w:p>
            <w:pPr>
              <w:pStyle w:val="2"/>
              <w:rPr>
                <w:rFonts w:hint="eastAsia"/>
              </w:rPr>
            </w:pPr>
            <w:r>
              <w:rPr>
                <w:rFonts w:hint="eastAsia"/>
              </w:rPr>
              <w:t>公司位于江西省樟树市阁山镇，厂区总面积23124平方米，生产车间建筑面积3036平方米，一层综合办公楼建筑面积1000平方米；</w:t>
            </w:r>
          </w:p>
          <w:p>
            <w:pPr>
              <w:pStyle w:val="2"/>
              <w:rPr>
                <w:rFonts w:hint="eastAsia"/>
              </w:rPr>
            </w:pPr>
            <w:r>
              <w:rPr>
                <w:rFonts w:hint="eastAsia"/>
              </w:rPr>
              <w:t>现有职工20余人，主要设备有小样机、搅拌机、双螺杆挤出机、风冷覆带式压片破碎机、立式磨粉机等；</w:t>
            </w:r>
          </w:p>
          <w:p>
            <w:pPr>
              <w:pStyle w:val="2"/>
              <w:rPr>
                <w:rFonts w:hint="eastAsia"/>
              </w:rPr>
            </w:pPr>
            <w:r>
              <w:rPr>
                <w:rFonts w:hint="eastAsia"/>
              </w:rPr>
              <w:t>主要检测设备包括：涂层测厚仪、电子台称、光泽仪等；</w:t>
            </w:r>
          </w:p>
          <w:p>
            <w:pPr>
              <w:pStyle w:val="2"/>
              <w:rPr>
                <w:rFonts w:hint="eastAsia"/>
              </w:rPr>
            </w:pPr>
            <w:r>
              <w:rPr>
                <w:rFonts w:hint="eastAsia"/>
              </w:rPr>
              <w:t>安全环保设施包括有灭火器、布袋除尘装置、个体防护用品、垃圾桶等；</w:t>
            </w:r>
          </w:p>
          <w:p>
            <w:pPr>
              <w:pStyle w:val="2"/>
              <w:rPr>
                <w:rFonts w:hint="eastAsia"/>
              </w:rPr>
            </w:pPr>
            <w:r>
              <w:rPr>
                <w:rFonts w:hint="eastAsia"/>
              </w:rPr>
              <w:t>生产的静电粉末主要有高光粉末、亚光粉末、TGIC粉末、美术型粉末四大系列300多个品种，产品通过了国家涂料质量监督检验中心检测。</w:t>
            </w:r>
          </w:p>
          <w:p>
            <w:pPr>
              <w:pStyle w:val="2"/>
              <w:rPr>
                <w:rFonts w:hint="eastAsia"/>
              </w:rPr>
            </w:pPr>
            <w:r>
              <w:rPr>
                <w:rFonts w:hint="eastAsia"/>
              </w:rPr>
              <w:t>公司设置有办公室、生产部、供销部。</w:t>
            </w:r>
          </w:p>
          <w:p>
            <w:pPr>
              <w:pStyle w:val="2"/>
              <w:rPr>
                <w:rFonts w:hint="eastAsia"/>
              </w:rPr>
            </w:pPr>
            <w:r>
              <w:rPr>
                <w:rFonts w:hint="eastAsia"/>
              </w:rPr>
              <w:t>公司定期汇总分析市场情况，包括行业发展情况，相关企业产品分析，竞品分析，行业政策跟踪，以保证随时掌握行业及竞争企业的发展动态，为研发及业务拓展提供决策依据；确定与本公司管理目标和战略方向相关并影响实现管理体系预期结果的各种内部因素（公司的价值观、文化、知识、绩效等相关因素）和外部因素（国际、国家、地区和当地的各种法律法规、技术、竞争、文化和社会因素等），如：</w:t>
            </w:r>
          </w:p>
          <w:p>
            <w:pPr>
              <w:pStyle w:val="2"/>
              <w:rPr>
                <w:rFonts w:hint="eastAsia"/>
              </w:rPr>
            </w:pPr>
            <w:r>
              <w:rPr>
                <w:rFonts w:hint="eastAsia"/>
              </w:rPr>
              <w:t>外部因素——国际经济政治形势、材料价格变动、竞争对手、客户需求的变化、新技术的采用等；</w:t>
            </w:r>
          </w:p>
          <w:p>
            <w:pPr>
              <w:pStyle w:val="2"/>
              <w:rPr>
                <w:rFonts w:hint="eastAsia"/>
              </w:rPr>
            </w:pPr>
            <w:r>
              <w:rPr>
                <w:rFonts w:hint="eastAsia"/>
              </w:rPr>
              <w:t>内部因素有-公司文化、内部管理机制的建立、人员稳定性、员工年龄、经验等；</w:t>
            </w:r>
          </w:p>
          <w:p>
            <w:pPr>
              <w:pStyle w:val="2"/>
              <w:rPr>
                <w:rFonts w:hint="eastAsia"/>
              </w:rPr>
            </w:pPr>
            <w:r>
              <w:rPr>
                <w:rFonts w:hint="eastAsia"/>
              </w:rPr>
              <w:t>这些因素包括了需要考虑的正面和负面因素或条件。</w:t>
            </w:r>
          </w:p>
          <w:p>
            <w:pPr>
              <w:pStyle w:val="2"/>
            </w:pPr>
            <w:r>
              <w:rPr>
                <w:rFonts w:hint="eastAsia"/>
              </w:rPr>
              <w:t>公司每年根据公司销售人员从市场、客户、网络等搜集到的信息并结合公司自身业务运作情况进行分析，通过分析对这些内部和外部因素的相关信息进行监视和评审以确保其充分和适宜。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rFonts w:hint="eastAsia"/>
              </w:rPr>
            </w:pPr>
            <w:r>
              <w:t>2、</w:t>
            </w:r>
            <w:r>
              <w:rPr>
                <w:rFonts w:hint="eastAsia"/>
              </w:rPr>
              <w:t>相关方需求和期望识别情况</w:t>
            </w:r>
          </w:p>
          <w:p>
            <w:pPr>
              <w:pStyle w:val="2"/>
              <w:rPr>
                <w:rFonts w:hint="eastAsia"/>
              </w:rPr>
            </w:pPr>
            <w:r>
              <w:rPr>
                <w:rFonts w:hint="eastAsia"/>
              </w:rPr>
              <w:t>保留“相关方期望或要求识别表”，公司内外部相关方包括：顾客/最终消费者、员工、政府、外部供方、竞争对手、社会相邻单位等；</w:t>
            </w:r>
          </w:p>
          <w:p>
            <w:pPr>
              <w:pStyle w:val="2"/>
            </w:pPr>
            <w:r>
              <w:rPr>
                <w:rFonts w:hint="eastAsia"/>
              </w:rPr>
              <w:t>清单中明确了相关方要求与期望、监测指标或项目、监测频率、监测部门等。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pStyle w:val="2"/>
              <w:ind w:firstLine="420" w:firstLineChars="200"/>
              <w:rPr>
                <w:rFonts w:hint="eastAsia" w:ascii="Times New Roman" w:hAnsi="Times New Roman" w:cs="Times New Roman"/>
                <w:szCs w:val="22"/>
              </w:rPr>
            </w:pPr>
            <w:r>
              <w:rPr>
                <w:rFonts w:hint="eastAsia" w:ascii="Times New Roman" w:hAnsi="Times New Roman" w:cs="Times New Roman"/>
                <w:szCs w:val="22"/>
              </w:rPr>
              <w:t>《管理手册》中明确了公司的质量、环境、职业健康安全方针是：</w:t>
            </w:r>
          </w:p>
          <w:p>
            <w:pPr>
              <w:pStyle w:val="2"/>
              <w:ind w:firstLine="420" w:firstLineChars="200"/>
              <w:rPr>
                <w:rFonts w:hint="eastAsia" w:ascii="Times New Roman" w:hAnsi="Times New Roman" w:cs="Times New Roman"/>
                <w:szCs w:val="22"/>
              </w:rPr>
            </w:pPr>
            <w:r>
              <w:rPr>
                <w:rFonts w:hint="eastAsia" w:ascii="Times New Roman" w:hAnsi="Times New Roman" w:cs="Times New Roman"/>
                <w:szCs w:val="22"/>
              </w:rPr>
              <w:t>1.质量环境职业健康安全方针：</w:t>
            </w:r>
          </w:p>
          <w:p>
            <w:pPr>
              <w:pStyle w:val="2"/>
              <w:ind w:firstLine="420" w:firstLineChars="200"/>
              <w:rPr>
                <w:rFonts w:hint="eastAsia" w:ascii="Times New Roman" w:hAnsi="Times New Roman" w:cs="Times New Roman"/>
                <w:szCs w:val="22"/>
              </w:rPr>
            </w:pPr>
            <w:r>
              <w:rPr>
                <w:rFonts w:hint="eastAsia" w:ascii="Times New Roman" w:hAnsi="Times New Roman" w:cs="Times New Roman"/>
                <w:szCs w:val="22"/>
              </w:rPr>
              <w:t>质量至上、持续创新、诚实守信、顾客至上</w:t>
            </w:r>
          </w:p>
          <w:p>
            <w:pPr>
              <w:pStyle w:val="2"/>
              <w:ind w:firstLine="420" w:firstLineChars="200"/>
              <w:rPr>
                <w:rFonts w:hint="eastAsia" w:ascii="Times New Roman" w:hAnsi="Times New Roman" w:cs="Times New Roman"/>
                <w:szCs w:val="22"/>
              </w:rPr>
            </w:pPr>
            <w:r>
              <w:rPr>
                <w:rFonts w:hint="eastAsia" w:ascii="Times New Roman" w:hAnsi="Times New Roman" w:cs="Times New Roman"/>
                <w:szCs w:val="22"/>
              </w:rPr>
              <w:t>预防为主，降低风险；遵章守法，创造和谐</w:t>
            </w:r>
          </w:p>
          <w:p>
            <w:pPr>
              <w:spacing w:line="360" w:lineRule="auto"/>
              <w:ind w:firstLine="420" w:firstLineChars="200"/>
              <w:rPr>
                <w:b/>
                <w:color w:val="000000" w:themeColor="text1"/>
              </w:rPr>
            </w:pPr>
            <w:r>
              <w:rPr>
                <w:rFonts w:hint="eastAsia" w:ascii="Times New Roman" w:hAnsi="Times New Roman" w:eastAsia="宋体" w:cs="Times New Roman"/>
                <w:color w:val="auto"/>
                <w:szCs w:val="22"/>
                <w:lang w:val="en-US" w:eastAsia="zh-CN"/>
              </w:rPr>
              <w:t>方针适宜于公司现状，在管理手册中明确，通过文件发放，</w:t>
            </w:r>
            <w:r>
              <w:rPr>
                <w:rFonts w:hint="eastAsia" w:cs="Times New Roman"/>
                <w:color w:val="auto"/>
                <w:szCs w:val="22"/>
                <w:lang w:val="en-US" w:eastAsia="zh-CN"/>
              </w:rPr>
              <w:t>使</w:t>
            </w:r>
            <w:r>
              <w:rPr>
                <w:rFonts w:hint="eastAsia" w:ascii="Times New Roman" w:hAnsi="Times New Roman" w:eastAsia="宋体" w:cs="Times New Roman"/>
                <w:color w:val="auto"/>
                <w:szCs w:val="22"/>
                <w:lang w:val="en-US" w:eastAsia="zh-CN"/>
              </w:rPr>
              <w:t>员工获知，适用时提供给相关方。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rFonts w:hint="eastAsia"/>
              </w:rPr>
            </w:pPr>
            <w:r>
              <w:t>4、</w:t>
            </w:r>
            <w:r>
              <w:rPr>
                <w:rFonts w:hint="eastAsia"/>
              </w:rPr>
              <w:t>风险识别与控制策划（QMS）</w:t>
            </w:r>
          </w:p>
          <w:p>
            <w:pPr>
              <w:adjustRightInd w:val="0"/>
              <w:snapToGrid w:val="0"/>
              <w:spacing w:line="360" w:lineRule="auto"/>
              <w:ind w:right="105" w:rightChars="50" w:firstLine="396" w:firstLineChars="200"/>
              <w:textAlignment w:val="baseline"/>
              <w:rPr>
                <w:rFonts w:hint="eastAsia" w:ascii="宋体" w:hAnsi="宋体" w:cs="Arial"/>
                <w:color w:val="auto"/>
                <w:spacing w:val="-6"/>
                <w:sz w:val="21"/>
                <w:szCs w:val="21"/>
              </w:rPr>
            </w:pPr>
            <w:r>
              <w:rPr>
                <w:rFonts w:hint="eastAsia" w:ascii="宋体" w:hAnsi="宋体" w:cs="Arial"/>
                <w:color w:val="auto"/>
                <w:spacing w:val="-6"/>
                <w:sz w:val="21"/>
                <w:szCs w:val="21"/>
              </w:rPr>
              <w:t>公司基于对4.1和4.2的考虑，分析了存在的风险和机遇：</w:t>
            </w:r>
          </w:p>
          <w:p>
            <w:pPr>
              <w:adjustRightInd w:val="0"/>
              <w:snapToGrid w:val="0"/>
              <w:spacing w:line="360" w:lineRule="auto"/>
              <w:ind w:right="105" w:rightChars="50" w:firstLine="396" w:firstLineChars="200"/>
              <w:textAlignment w:val="baseline"/>
              <w:rPr>
                <w:rFonts w:hint="eastAsia" w:ascii="宋体" w:hAnsi="宋体" w:cs="Arial"/>
                <w:color w:val="auto"/>
                <w:spacing w:val="-6"/>
                <w:sz w:val="21"/>
                <w:szCs w:val="21"/>
                <w:highlight w:val="none"/>
              </w:rPr>
            </w:pPr>
            <w:r>
              <w:rPr>
                <w:rFonts w:hint="eastAsia" w:ascii="宋体" w:hAnsi="宋体" w:cs="Arial"/>
                <w:color w:val="auto"/>
                <w:spacing w:val="-6"/>
                <w:sz w:val="21"/>
                <w:szCs w:val="21"/>
                <w:highlight w:val="none"/>
                <w:lang w:val="en-US" w:eastAsia="zh-CN"/>
              </w:rPr>
              <w:t>存在的机遇：国家整体经济的发展要求对整个行业的发展总体是利好；公司在行业内从业十几年，有着良好的口碑；给公司的发展带来了机遇</w:t>
            </w:r>
            <w:r>
              <w:rPr>
                <w:rFonts w:hint="eastAsia" w:ascii="宋体" w:hAnsi="宋体" w:cs="Arial"/>
                <w:color w:val="auto"/>
                <w:spacing w:val="-6"/>
                <w:sz w:val="21"/>
                <w:szCs w:val="21"/>
                <w:highlight w:val="none"/>
              </w:rPr>
              <w:t>。</w:t>
            </w:r>
          </w:p>
          <w:p>
            <w:pPr>
              <w:adjustRightInd w:val="0"/>
              <w:snapToGrid w:val="0"/>
              <w:spacing w:line="360" w:lineRule="auto"/>
              <w:ind w:right="105" w:rightChars="50" w:firstLine="396" w:firstLineChars="200"/>
              <w:textAlignment w:val="baseline"/>
              <w:rPr>
                <w:rFonts w:hint="eastAsia" w:ascii="宋体" w:hAnsi="宋体" w:cs="Arial"/>
                <w:color w:val="auto"/>
                <w:spacing w:val="-6"/>
                <w:sz w:val="21"/>
                <w:szCs w:val="21"/>
                <w:highlight w:val="none"/>
              </w:rPr>
            </w:pPr>
            <w:r>
              <w:rPr>
                <w:rFonts w:hint="eastAsia" w:ascii="宋体" w:hAnsi="宋体" w:cs="Arial"/>
                <w:color w:val="auto"/>
                <w:spacing w:val="-6"/>
                <w:sz w:val="21"/>
                <w:szCs w:val="21"/>
                <w:highlight w:val="none"/>
                <w:lang w:val="en-US" w:eastAsia="zh-CN"/>
              </w:rPr>
              <w:t>存在的风险：主要来自竞争对手的竞争，行业入门容易、技术含量低，原材料价格波动影响成本</w:t>
            </w:r>
            <w:r>
              <w:rPr>
                <w:rFonts w:hint="eastAsia" w:ascii="宋体" w:hAnsi="宋体" w:cs="Arial"/>
                <w:color w:val="auto"/>
                <w:spacing w:val="-6"/>
                <w:sz w:val="21"/>
                <w:szCs w:val="21"/>
                <w:highlight w:val="none"/>
                <w:lang w:eastAsia="zh-CN"/>
              </w:rPr>
              <w:t>；</w:t>
            </w:r>
          </w:p>
          <w:p>
            <w:pPr>
              <w:adjustRightInd w:val="0"/>
              <w:snapToGrid w:val="0"/>
              <w:spacing w:line="360" w:lineRule="auto"/>
              <w:ind w:right="105" w:rightChars="50" w:firstLine="396" w:firstLineChars="200"/>
              <w:textAlignment w:val="baseline"/>
              <w:rPr>
                <w:rFonts w:hint="eastAsia" w:ascii="宋体" w:hAnsi="宋体" w:cs="Arial"/>
                <w:color w:val="auto"/>
                <w:spacing w:val="-6"/>
                <w:sz w:val="21"/>
                <w:szCs w:val="21"/>
              </w:rPr>
            </w:pPr>
            <w:r>
              <w:rPr>
                <w:rFonts w:hint="eastAsia" w:ascii="宋体" w:hAnsi="宋体" w:cs="Arial"/>
                <w:color w:val="auto"/>
                <w:spacing w:val="-6"/>
                <w:sz w:val="21"/>
                <w:szCs w:val="21"/>
              </w:rPr>
              <w:t>为应对</w:t>
            </w:r>
            <w:r>
              <w:rPr>
                <w:rFonts w:hint="eastAsia" w:ascii="宋体" w:hAnsi="宋体" w:cs="Arial"/>
                <w:color w:val="auto"/>
                <w:spacing w:val="-6"/>
                <w:sz w:val="21"/>
                <w:szCs w:val="21"/>
                <w:lang w:val="en-US" w:eastAsia="zh-CN"/>
              </w:rPr>
              <w:t>上述</w:t>
            </w:r>
            <w:r>
              <w:rPr>
                <w:rFonts w:hint="eastAsia" w:ascii="宋体" w:hAnsi="宋体" w:cs="Arial"/>
                <w:color w:val="auto"/>
                <w:spacing w:val="-6"/>
                <w:sz w:val="21"/>
                <w:szCs w:val="21"/>
              </w:rPr>
              <w:t>的风险和机遇，公司依据ISO9001：2015、ISO14001：2015、ISO45001：2018标准的要求并结合本公司的具体情况，采取PDCA的过程方法，建立、实施、保持并持续改进质量、环境、职业健康安全管理体系。</w:t>
            </w:r>
          </w:p>
          <w:p>
            <w:pPr>
              <w:adjustRightInd w:val="0"/>
              <w:snapToGrid w:val="0"/>
              <w:spacing w:line="360" w:lineRule="auto"/>
              <w:ind w:right="105" w:rightChars="50" w:firstLine="396" w:firstLineChars="200"/>
              <w:textAlignment w:val="baseline"/>
              <w:rPr>
                <w:rFonts w:hint="eastAsia" w:ascii="宋体" w:hAnsi="宋体" w:cs="Arial"/>
                <w:color w:val="auto"/>
                <w:spacing w:val="-6"/>
                <w:sz w:val="21"/>
                <w:szCs w:val="21"/>
                <w:lang w:eastAsia="zh-CN"/>
              </w:rPr>
            </w:pPr>
            <w:r>
              <w:rPr>
                <w:rFonts w:hint="eastAsia" w:ascii="宋体" w:hAnsi="宋体" w:cs="Arial"/>
                <w:color w:val="auto"/>
                <w:spacing w:val="-6"/>
                <w:sz w:val="21"/>
                <w:szCs w:val="21"/>
                <w:lang w:val="en-US" w:eastAsia="zh-CN"/>
              </w:rPr>
              <w:t>保持</w:t>
            </w:r>
            <w:r>
              <w:rPr>
                <w:rFonts w:hint="eastAsia" w:ascii="宋体" w:hAnsi="宋体" w:cs="Arial"/>
                <w:color w:val="auto"/>
                <w:spacing w:val="-6"/>
                <w:sz w:val="21"/>
                <w:szCs w:val="21"/>
              </w:rPr>
              <w:t>《管理手册》A/</w:t>
            </w:r>
            <w:r>
              <w:rPr>
                <w:rFonts w:hint="eastAsia" w:ascii="宋体" w:hAnsi="宋体" w:cs="Arial"/>
                <w:color w:val="auto"/>
                <w:spacing w:val="-6"/>
                <w:sz w:val="21"/>
                <w:szCs w:val="21"/>
                <w:lang w:val="en-US" w:eastAsia="zh-CN"/>
              </w:rPr>
              <w:t>0</w:t>
            </w:r>
            <w:r>
              <w:rPr>
                <w:rFonts w:hint="eastAsia" w:ascii="宋体" w:hAnsi="宋体" w:cs="Arial"/>
                <w:color w:val="auto"/>
                <w:spacing w:val="-6"/>
                <w:sz w:val="21"/>
                <w:szCs w:val="21"/>
              </w:rPr>
              <w:t xml:space="preserve">    实施日期：2020年11月10日</w:t>
            </w:r>
            <w:r>
              <w:rPr>
                <w:rFonts w:hint="eastAsia" w:ascii="宋体" w:hAnsi="宋体" w:cs="Arial"/>
                <w:color w:val="auto"/>
                <w:spacing w:val="-6"/>
                <w:sz w:val="21"/>
                <w:szCs w:val="21"/>
                <w:lang w:eastAsia="zh-CN"/>
              </w:rPr>
              <w:t>；</w:t>
            </w:r>
            <w:bookmarkStart w:id="22" w:name="_GoBack"/>
            <w:bookmarkEnd w:id="22"/>
          </w:p>
          <w:p>
            <w:pPr>
              <w:adjustRightInd w:val="0"/>
              <w:snapToGrid w:val="0"/>
              <w:spacing w:line="360" w:lineRule="auto"/>
              <w:ind w:right="105" w:rightChars="50" w:firstLine="396" w:firstLineChars="200"/>
              <w:textAlignment w:val="baseline"/>
              <w:rPr>
                <w:rFonts w:hint="eastAsia" w:ascii="宋体" w:hAnsi="宋体" w:cs="Arial"/>
                <w:color w:val="auto"/>
                <w:spacing w:val="-6"/>
                <w:sz w:val="21"/>
                <w:szCs w:val="21"/>
              </w:rPr>
            </w:pPr>
            <w:r>
              <w:rPr>
                <w:rFonts w:hint="eastAsia" w:ascii="宋体" w:hAnsi="宋体" w:cs="Arial"/>
                <w:color w:val="auto"/>
                <w:spacing w:val="-6"/>
                <w:sz w:val="21"/>
                <w:szCs w:val="21"/>
              </w:rPr>
              <w:t>编制有《风险和机遇的应对控制程序》，对组织内外的风险和机遇进行了策划。</w:t>
            </w:r>
          </w:p>
          <w:p>
            <w:pPr>
              <w:adjustRightInd w:val="0"/>
              <w:snapToGrid w:val="0"/>
              <w:spacing w:line="360" w:lineRule="auto"/>
              <w:ind w:right="105" w:rightChars="50" w:firstLine="396" w:firstLineChars="200"/>
              <w:textAlignment w:val="baseline"/>
              <w:rPr>
                <w:rFonts w:hint="default" w:ascii="宋体" w:hAnsi="宋体" w:eastAsia="宋体" w:cs="Arial"/>
                <w:color w:val="auto"/>
                <w:spacing w:val="-6"/>
                <w:sz w:val="21"/>
                <w:szCs w:val="21"/>
                <w:lang w:val="en-US" w:eastAsia="zh-CN"/>
              </w:rPr>
            </w:pPr>
            <w:r>
              <w:rPr>
                <w:rFonts w:hint="eastAsia" w:ascii="宋体" w:hAnsi="宋体" w:cs="Arial"/>
                <w:color w:val="auto"/>
                <w:spacing w:val="-6"/>
                <w:sz w:val="21"/>
                <w:szCs w:val="21"/>
                <w:lang w:val="en-US" w:eastAsia="zh-CN"/>
              </w:rPr>
              <w:t>保持</w:t>
            </w:r>
            <w:r>
              <w:rPr>
                <w:rFonts w:hint="eastAsia" w:ascii="宋体" w:hAnsi="宋体" w:cs="Arial"/>
                <w:color w:val="auto"/>
                <w:spacing w:val="-6"/>
                <w:sz w:val="21"/>
                <w:szCs w:val="21"/>
              </w:rPr>
              <w:t>程序文件2</w:t>
            </w:r>
            <w:r>
              <w:rPr>
                <w:rFonts w:hint="eastAsia" w:ascii="宋体" w:hAnsi="宋体" w:cs="Arial"/>
                <w:color w:val="auto"/>
                <w:spacing w:val="-6"/>
                <w:sz w:val="21"/>
                <w:szCs w:val="21"/>
                <w:lang w:val="en-US" w:eastAsia="zh-CN"/>
              </w:rPr>
              <w:t>6</w:t>
            </w:r>
            <w:r>
              <w:rPr>
                <w:rFonts w:hint="eastAsia" w:ascii="宋体" w:hAnsi="宋体" w:cs="Arial"/>
                <w:color w:val="auto"/>
                <w:spacing w:val="-6"/>
                <w:sz w:val="21"/>
                <w:szCs w:val="21"/>
              </w:rPr>
              <w:t>个，版本号：A/</w:t>
            </w:r>
            <w:r>
              <w:rPr>
                <w:rFonts w:hint="eastAsia" w:ascii="宋体" w:hAnsi="宋体" w:cs="Arial"/>
                <w:color w:val="auto"/>
                <w:spacing w:val="-6"/>
                <w:sz w:val="21"/>
                <w:szCs w:val="21"/>
                <w:lang w:val="en-US" w:eastAsia="zh-CN"/>
              </w:rPr>
              <w:t>0</w:t>
            </w:r>
            <w:r>
              <w:rPr>
                <w:rFonts w:hint="eastAsia" w:ascii="宋体" w:hAnsi="宋体" w:cs="Arial"/>
                <w:color w:val="auto"/>
                <w:spacing w:val="-6"/>
                <w:sz w:val="21"/>
                <w:szCs w:val="21"/>
              </w:rPr>
              <w:t>；废弃物控制程序</w:t>
            </w:r>
            <w:r>
              <w:rPr>
                <w:rFonts w:hint="eastAsia" w:ascii="宋体" w:hAnsi="宋体" w:cs="Arial"/>
                <w:color w:val="auto"/>
                <w:spacing w:val="-6"/>
                <w:sz w:val="21"/>
                <w:szCs w:val="21"/>
                <w:lang w:eastAsia="zh-CN"/>
              </w:rPr>
              <w:t>、</w:t>
            </w:r>
            <w:r>
              <w:rPr>
                <w:rFonts w:hint="eastAsia" w:ascii="宋体" w:hAnsi="宋体" w:cs="Arial"/>
                <w:color w:val="auto"/>
                <w:spacing w:val="-6"/>
                <w:sz w:val="21"/>
                <w:szCs w:val="21"/>
              </w:rPr>
              <w:t>噪声控制程序</w:t>
            </w:r>
            <w:r>
              <w:rPr>
                <w:rFonts w:hint="eastAsia" w:ascii="宋体" w:hAnsi="宋体" w:cs="Arial"/>
                <w:color w:val="auto"/>
                <w:spacing w:val="-6"/>
                <w:sz w:val="21"/>
                <w:szCs w:val="21"/>
                <w:lang w:eastAsia="zh-CN"/>
              </w:rPr>
              <w:t>、</w:t>
            </w:r>
            <w:r>
              <w:rPr>
                <w:rFonts w:hint="eastAsia" w:ascii="宋体" w:hAnsi="宋体" w:cs="Arial"/>
                <w:color w:val="auto"/>
                <w:spacing w:val="-6"/>
                <w:sz w:val="21"/>
                <w:szCs w:val="21"/>
              </w:rPr>
              <w:t>消防控制程序</w:t>
            </w:r>
            <w:r>
              <w:rPr>
                <w:rFonts w:hint="eastAsia" w:ascii="宋体" w:hAnsi="宋体" w:cs="Arial"/>
                <w:color w:val="auto"/>
                <w:spacing w:val="-6"/>
                <w:sz w:val="21"/>
                <w:szCs w:val="21"/>
                <w:lang w:eastAsia="zh-CN"/>
              </w:rPr>
              <w:t>、顾客满意度控制程序、采购控制程序、销售和服务管理控制程序</w:t>
            </w:r>
            <w:r>
              <w:rPr>
                <w:rFonts w:hint="eastAsia" w:ascii="宋体" w:hAnsi="宋体" w:cs="Arial"/>
                <w:color w:val="auto"/>
                <w:spacing w:val="-6"/>
                <w:sz w:val="21"/>
                <w:szCs w:val="21"/>
                <w:lang w:val="en-US" w:eastAsia="zh-CN"/>
              </w:rPr>
              <w:t>等；</w:t>
            </w:r>
          </w:p>
          <w:p>
            <w:pPr>
              <w:adjustRightInd w:val="0"/>
              <w:snapToGrid w:val="0"/>
              <w:spacing w:line="360" w:lineRule="auto"/>
              <w:ind w:right="105" w:rightChars="50" w:firstLine="396" w:firstLineChars="200"/>
              <w:textAlignment w:val="baseline"/>
              <w:rPr>
                <w:rFonts w:hint="eastAsia" w:ascii="宋体" w:hAnsi="宋体" w:cs="Arial"/>
                <w:color w:val="auto"/>
                <w:spacing w:val="-6"/>
                <w:sz w:val="21"/>
                <w:szCs w:val="21"/>
                <w:highlight w:val="yellow"/>
                <w:lang w:val="en-US" w:eastAsia="zh-CN"/>
              </w:rPr>
            </w:pPr>
            <w:r>
              <w:rPr>
                <w:rFonts w:hint="eastAsia" w:ascii="宋体" w:hAnsi="宋体" w:cs="Arial"/>
                <w:color w:val="auto"/>
                <w:spacing w:val="-6"/>
                <w:sz w:val="21"/>
                <w:szCs w:val="21"/>
                <w:highlight w:val="none"/>
                <w:lang w:val="en-US" w:eastAsia="zh-CN"/>
              </w:rPr>
              <w:t>生产工艺文件、质量检验管理规定、安全生产检查及隐患治理规定、生产现场管理规定、环境保护管理规定、操作规程等；</w:t>
            </w:r>
          </w:p>
          <w:p>
            <w:pPr>
              <w:adjustRightInd w:val="0"/>
              <w:snapToGrid w:val="0"/>
              <w:spacing w:line="360" w:lineRule="auto"/>
              <w:ind w:right="105" w:rightChars="50" w:firstLine="396" w:firstLineChars="200"/>
              <w:textAlignment w:val="baseline"/>
              <w:rPr>
                <w:rFonts w:hint="default"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建立有外来文件清单</w:t>
            </w:r>
            <w:r>
              <w:rPr>
                <w:rFonts w:hint="eastAsia" w:ascii="宋体" w:hAnsi="宋体" w:cs="Arial"/>
                <w:color w:val="auto"/>
                <w:spacing w:val="-6"/>
                <w:sz w:val="21"/>
                <w:szCs w:val="21"/>
                <w:highlight w:val="none"/>
                <w:lang w:val="en-US" w:eastAsia="zh-CN"/>
              </w:rPr>
              <w:t>，收集相关法律法规和产品标准-HG/T2006-2006热固性粉末涂料等；</w:t>
            </w:r>
          </w:p>
          <w:p>
            <w:pPr>
              <w:pStyle w:val="2"/>
            </w:pPr>
            <w:r>
              <w:rPr>
                <w:rFonts w:hint="eastAsia" w:ascii="宋体" w:hAnsi="宋体" w:cs="Arial"/>
                <w:color w:val="auto"/>
                <w:spacing w:val="-6"/>
                <w:sz w:val="21"/>
                <w:szCs w:val="21"/>
                <w:lang w:val="en-US" w:eastAsia="zh-CN"/>
              </w:rPr>
              <w:t>文件化管理体系目前基本满足要求。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0" w:firstLineChars="0"/>
              <w:textAlignment w:val="auto"/>
              <w:rPr>
                <w:rFonts w:hint="eastAsia"/>
                <w:highlight w:val="none"/>
                <w:lang w:val="en-US" w:eastAsia="zh-CN"/>
              </w:rPr>
            </w:pPr>
            <w:r>
              <w:rPr>
                <w:rFonts w:hint="eastAsia" w:ascii="宋体" w:hAnsi="宋体"/>
                <w:b/>
                <w:color w:val="000000" w:themeColor="text1"/>
                <w:sz w:val="20"/>
                <w:szCs w:val="20"/>
              </w:rPr>
              <w:t>质量管理体系过程有：</w:t>
            </w:r>
            <w:r>
              <w:rPr>
                <w:rFonts w:hint="eastAsia"/>
                <w:highlight w:val="none"/>
                <w:lang w:val="en-US" w:eastAsia="zh-CN"/>
              </w:rPr>
              <w:t>原材料采购—进货检验—配料—预混合—挤出—粉碎—检验—包装—入库</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lang w:val="en-US" w:eastAsia="zh-CN"/>
              </w:rPr>
              <w:t xml:space="preserve"> </w:t>
            </w:r>
            <w:r>
              <w:rPr>
                <w:rFonts w:hint="eastAsia"/>
                <w:highlight w:val="none"/>
                <w:u w:val="single"/>
                <w:lang w:val="en-US" w:eastAsia="zh-CN"/>
              </w:rPr>
              <w:t>配料、预混合、挤出、粉碎</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hint="default"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需要确认过程</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 xml:space="preserve">无 </w:t>
            </w:r>
          </w:p>
          <w:p>
            <w:pPr>
              <w:tabs>
                <w:tab w:val="left" w:pos="540"/>
              </w:tabs>
              <w:spacing w:line="360" w:lineRule="auto"/>
              <w:ind w:left="201" w:hanging="201" w:hangingChars="100"/>
              <w:rPr>
                <w:rFonts w:ascii="宋体" w:hAnsi="宋体"/>
                <w:b/>
                <w:color w:val="000000" w:themeColor="text1"/>
                <w:szCs w:val="21"/>
              </w:rPr>
            </w:pP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w:t>
            </w:r>
            <w:r>
              <w:rPr>
                <w:rFonts w:hint="eastAsia" w:ascii="宋体" w:hAnsi="宋体"/>
                <w:b/>
                <w:color w:val="000000" w:themeColor="text1"/>
                <w:sz w:val="20"/>
                <w:szCs w:val="20"/>
                <w:lang w:val="en-US" w:eastAsia="zh-CN"/>
              </w:rPr>
              <w:t>Q8.3</w:t>
            </w:r>
            <w:r>
              <w:rPr>
                <w:rFonts w:hint="eastAsia" w:ascii="宋体" w:hAnsi="宋体"/>
                <w:b/>
                <w:color w:val="000000" w:themeColor="text1"/>
                <w:sz w:val="20"/>
                <w:szCs w:val="20"/>
              </w:rPr>
              <w:t xml:space="preserve"> ，不适用理由：</w:t>
            </w:r>
            <w:r>
              <w:rPr>
                <w:rFonts w:hint="eastAsia" w:ascii="宋体" w:hAnsi="宋体" w:cs="Arial"/>
                <w:color w:val="auto"/>
                <w:spacing w:val="-6"/>
                <w:sz w:val="21"/>
                <w:szCs w:val="21"/>
                <w:u w:val="single"/>
              </w:rPr>
              <w:t>公司静电粉末的生产及其所涉及的相关管理活动均参照行业标准、企业规范及客户提供的尺寸、工艺要求组织生产，其生产过程不涉及GB/T19001-2016/ISO 9001:2015标准中8.3条款内容，其不适用的要求不影响公司确保其产品和服务合格的能力和责任，对增强顾客满意也不会产生影响。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对办公活动和生产中的车间生产过程的环境因素进行了辨识和评价；考虑了生命周期观点，基本合理。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b/>
                <w:color w:val="000000" w:themeColor="text1"/>
                <w:sz w:val="20"/>
                <w:szCs w:val="20"/>
              </w:rPr>
            </w:pPr>
            <w:r>
              <w:rPr>
                <w:rFonts w:hint="eastAsia"/>
                <w:lang w:val="en-US" w:eastAsia="zh-CN"/>
              </w:rPr>
              <w:t>重要环境因素有：</w:t>
            </w:r>
            <w:r>
              <w:rPr>
                <w:rFonts w:hint="eastAsia" w:ascii="宋体"/>
                <w:color w:val="000000"/>
                <w:sz w:val="20"/>
                <w:szCs w:val="20"/>
              </w:rPr>
              <w:t>噪声排放、潜在火灾、粉尘排放、废气排放、固废排放</w:t>
            </w:r>
            <w:r>
              <w:rPr>
                <w:rFonts w:hint="eastAsia" w:ascii="宋体"/>
                <w:color w:val="000000"/>
                <w:sz w:val="20"/>
                <w:szCs w:val="20"/>
                <w:lang w:eastAsia="zh-CN"/>
              </w:rPr>
              <w:t>、生活污水排放</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 xml:space="preserve">7. </w:t>
            </w:r>
            <w:r>
              <w:t>OHSMS</w:t>
            </w:r>
            <w:r>
              <w:rPr>
                <w:rFonts w:hint="eastAsia"/>
              </w:rPr>
              <w:t>职业健康安全危险源</w:t>
            </w:r>
          </w:p>
          <w:p>
            <w:pPr>
              <w:spacing w:line="300" w:lineRule="exact"/>
              <w:rPr>
                <w:rFonts w:hint="eastAsia"/>
              </w:rPr>
            </w:pPr>
            <w:r>
              <w:rPr>
                <w:rFonts w:hint="eastAsia"/>
              </w:rPr>
              <w:t>（职业健康安全危险源辨识是否充分、风险评价合理性，以及风险评价动态变更的及时性等）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lang w:val="en-US" w:eastAsia="zh-CN"/>
              </w:rPr>
            </w:pPr>
            <w:r>
              <w:rPr>
                <w:rFonts w:hint="eastAsia"/>
                <w:color w:val="auto"/>
                <w:lang w:val="en-US" w:eastAsia="zh-CN"/>
              </w:rPr>
              <w:t>辨识和评价了办公活动和生产的卸料、相关方、生产过程、等活动的危险源，</w:t>
            </w:r>
          </w:p>
          <w:p>
            <w:pPr>
              <w:pStyle w:val="2"/>
            </w:pPr>
            <w:r>
              <w:rPr>
                <w:rFonts w:hint="eastAsia"/>
                <w:color w:val="auto"/>
                <w:highlight w:val="none"/>
                <w:lang w:val="en-US" w:eastAsia="zh-CN"/>
              </w:rPr>
              <w:t>重大危险源包括：</w:t>
            </w:r>
            <w:r>
              <w:rPr>
                <w:rFonts w:hint="eastAsia" w:ascii="宋体"/>
                <w:color w:val="000000"/>
                <w:sz w:val="20"/>
                <w:szCs w:val="20"/>
              </w:rPr>
              <w:t>机械伤害、触电伤害、潜在火灾、吸入性伤害/爆炸</w:t>
            </w:r>
            <w:r>
              <w:rPr>
                <w:rFonts w:hint="eastAsia"/>
                <w:color w:val="auto"/>
                <w:highlight w:val="no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ind w:firstLine="420" w:firstLineChars="200"/>
              <w:rPr>
                <w:rFonts w:hint="eastAsia"/>
              </w:rPr>
            </w:pPr>
            <w:r>
              <w:rPr>
                <w:rFonts w:hint="eastAsia"/>
              </w:rPr>
              <w:t>质量目标：</w:t>
            </w:r>
          </w:p>
          <w:p>
            <w:pPr>
              <w:pStyle w:val="2"/>
              <w:ind w:firstLine="840" w:firstLineChars="400"/>
              <w:rPr>
                <w:rFonts w:hint="eastAsia"/>
              </w:rPr>
            </w:pPr>
            <w:r>
              <w:rPr>
                <w:rFonts w:hint="eastAsia"/>
              </w:rPr>
              <w:t>成品一次交验合格率≥97%；</w:t>
            </w:r>
          </w:p>
          <w:p>
            <w:pPr>
              <w:pStyle w:val="2"/>
              <w:ind w:firstLine="840" w:firstLineChars="400"/>
              <w:rPr>
                <w:rFonts w:hint="eastAsia"/>
              </w:rPr>
            </w:pPr>
            <w:r>
              <w:rPr>
                <w:rFonts w:hint="eastAsia"/>
              </w:rPr>
              <w:t>顾客满意度≥95分；</w:t>
            </w:r>
          </w:p>
          <w:p>
            <w:pPr>
              <w:pStyle w:val="2"/>
              <w:ind w:firstLine="420" w:firstLineChars="200"/>
              <w:rPr>
                <w:rFonts w:hint="eastAsia"/>
              </w:rPr>
            </w:pPr>
            <w:r>
              <w:rPr>
                <w:rFonts w:hint="eastAsia"/>
              </w:rPr>
              <w:t>环保安全目标：</w:t>
            </w:r>
          </w:p>
          <w:p>
            <w:pPr>
              <w:pStyle w:val="2"/>
              <w:ind w:firstLine="840" w:firstLineChars="400"/>
              <w:rPr>
                <w:rFonts w:hint="eastAsia"/>
              </w:rPr>
            </w:pPr>
            <w:r>
              <w:rPr>
                <w:rFonts w:hint="eastAsia"/>
              </w:rPr>
              <w:t>固废分类处置率100%；</w:t>
            </w:r>
          </w:p>
          <w:p>
            <w:pPr>
              <w:pStyle w:val="2"/>
              <w:ind w:firstLine="840" w:firstLineChars="400"/>
              <w:rPr>
                <w:rFonts w:hint="eastAsia"/>
              </w:rPr>
            </w:pPr>
            <w:r>
              <w:rPr>
                <w:rFonts w:hint="eastAsia"/>
              </w:rPr>
              <w:t>噪声\粉尘达标排放；</w:t>
            </w:r>
          </w:p>
          <w:p>
            <w:pPr>
              <w:pStyle w:val="2"/>
              <w:ind w:firstLine="840" w:firstLineChars="400"/>
              <w:rPr>
                <w:rFonts w:hint="eastAsia"/>
              </w:rPr>
            </w:pPr>
            <w:r>
              <w:rPr>
                <w:rFonts w:hint="eastAsia"/>
              </w:rPr>
              <w:t>职业病发生率为0；</w:t>
            </w:r>
          </w:p>
          <w:p>
            <w:pPr>
              <w:pStyle w:val="2"/>
              <w:ind w:firstLine="840" w:firstLineChars="400"/>
              <w:rPr>
                <w:rFonts w:hint="eastAsia"/>
              </w:rPr>
            </w:pPr>
            <w:r>
              <w:rPr>
                <w:rFonts w:hint="eastAsia"/>
              </w:rPr>
              <w:t>火灾事故为0；</w:t>
            </w:r>
          </w:p>
          <w:p>
            <w:pPr>
              <w:pStyle w:val="2"/>
              <w:ind w:firstLine="840" w:firstLineChars="400"/>
              <w:rPr>
                <w:rFonts w:hint="eastAsia"/>
                <w:lang w:eastAsia="zh-CN"/>
              </w:rPr>
            </w:pPr>
            <w:r>
              <w:rPr>
                <w:rFonts w:hint="eastAsia"/>
              </w:rPr>
              <w:t>触电机械伤害事故为0</w:t>
            </w:r>
            <w:r>
              <w:rPr>
                <w:rFonts w:hint="eastAsia"/>
                <w:lang w:eastAsia="zh-CN"/>
              </w:rPr>
              <w:t>。</w:t>
            </w:r>
          </w:p>
          <w:p>
            <w:pPr>
              <w:spacing w:line="360" w:lineRule="auto"/>
              <w:ind w:firstLine="420" w:firstLineChars="200"/>
              <w:rPr>
                <w:rFonts w:hint="default" w:ascii="Times New Roman" w:hAnsi="Times New Roman" w:eastAsia="宋体" w:cs="Times New Roman"/>
                <w:color w:val="auto"/>
                <w:szCs w:val="22"/>
                <w:lang w:val="en-US" w:eastAsia="zh-CN"/>
              </w:rPr>
            </w:pPr>
            <w:r>
              <w:rPr>
                <w:rFonts w:hint="eastAsia" w:ascii="Times New Roman" w:hAnsi="Times New Roman" w:eastAsia="宋体" w:cs="Times New Roman"/>
                <w:color w:val="auto"/>
                <w:szCs w:val="22"/>
                <w:lang w:val="en-US" w:eastAsia="zh-CN"/>
              </w:rPr>
              <w:t>保留有</w:t>
            </w:r>
            <w:r>
              <w:rPr>
                <w:rFonts w:hint="default" w:ascii="Times New Roman" w:hAnsi="Times New Roman" w:eastAsia="宋体" w:cs="Times New Roman"/>
                <w:color w:val="auto"/>
                <w:szCs w:val="22"/>
                <w:lang w:val="en-US" w:eastAsia="zh-CN"/>
              </w:rPr>
              <w:t>公司的环境和安全管理方案和控制措施。基本符合。</w:t>
            </w:r>
          </w:p>
          <w:p>
            <w:pPr>
              <w:spacing w:line="360" w:lineRule="auto"/>
              <w:ind w:firstLine="420" w:firstLineChars="200"/>
              <w:rPr>
                <w:rFonts w:ascii="宋体" w:hAnsi="宋体"/>
                <w:b/>
                <w:color w:val="000000" w:themeColor="text1"/>
              </w:rPr>
            </w:pPr>
            <w:r>
              <w:rPr>
                <w:rFonts w:hint="eastAsia"/>
                <w:lang w:val="en-US" w:eastAsia="zh-CN"/>
              </w:rPr>
              <w:t>通过“</w:t>
            </w:r>
            <w:r>
              <w:rPr>
                <w:rFonts w:hint="default"/>
                <w:lang w:val="en-US" w:eastAsia="zh-CN"/>
              </w:rPr>
              <w:t>质量\环境\职业健康安全目标分解考核表</w:t>
            </w:r>
            <w:r>
              <w:rPr>
                <w:rFonts w:hint="eastAsia"/>
                <w:lang w:val="en-US" w:eastAsia="zh-CN"/>
              </w:rPr>
              <w:t>”，对目标进行分解到各部门，并进行考核；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adjustRightInd w:val="0"/>
              <w:snapToGrid w:val="0"/>
              <w:spacing w:line="360" w:lineRule="auto"/>
              <w:ind w:right="105" w:rightChars="50" w:firstLine="396" w:firstLineChars="200"/>
              <w:textAlignment w:val="baseline"/>
              <w:rPr>
                <w:rFonts w:hint="eastAsia" w:ascii="宋体" w:hAnsi="宋体" w:cs="Arial"/>
                <w:color w:val="auto"/>
                <w:spacing w:val="-6"/>
                <w:sz w:val="21"/>
                <w:szCs w:val="21"/>
                <w:lang w:eastAsia="zh-CN"/>
              </w:rPr>
            </w:pPr>
            <w:r>
              <w:rPr>
                <w:rFonts w:hint="eastAsia" w:ascii="宋体" w:hAnsi="宋体" w:cs="Arial"/>
                <w:color w:val="auto"/>
                <w:spacing w:val="-6"/>
                <w:sz w:val="21"/>
                <w:szCs w:val="21"/>
                <w:lang w:val="en-US" w:eastAsia="zh-CN"/>
              </w:rPr>
              <w:t>保持</w:t>
            </w:r>
            <w:r>
              <w:rPr>
                <w:rFonts w:hint="eastAsia" w:ascii="宋体" w:hAnsi="宋体" w:cs="Arial"/>
                <w:color w:val="auto"/>
                <w:spacing w:val="-6"/>
                <w:sz w:val="21"/>
                <w:szCs w:val="21"/>
              </w:rPr>
              <w:t>《管理手册》A/</w:t>
            </w:r>
            <w:r>
              <w:rPr>
                <w:rFonts w:hint="eastAsia" w:ascii="宋体" w:hAnsi="宋体" w:cs="Arial"/>
                <w:color w:val="auto"/>
                <w:spacing w:val="-6"/>
                <w:sz w:val="21"/>
                <w:szCs w:val="21"/>
                <w:lang w:val="en-US" w:eastAsia="zh-CN"/>
              </w:rPr>
              <w:t>0</w:t>
            </w:r>
            <w:r>
              <w:rPr>
                <w:rFonts w:hint="eastAsia" w:ascii="宋体" w:hAnsi="宋体" w:cs="Arial"/>
                <w:color w:val="auto"/>
                <w:spacing w:val="-6"/>
                <w:sz w:val="21"/>
                <w:szCs w:val="21"/>
              </w:rPr>
              <w:t xml:space="preserve">    实施日期：2020年11月10日</w:t>
            </w:r>
            <w:r>
              <w:rPr>
                <w:rFonts w:hint="eastAsia" w:ascii="宋体" w:hAnsi="宋体" w:cs="Arial"/>
                <w:color w:val="auto"/>
                <w:spacing w:val="-6"/>
                <w:sz w:val="21"/>
                <w:szCs w:val="21"/>
                <w:lang w:eastAsia="zh-CN"/>
              </w:rPr>
              <w:t>；</w:t>
            </w:r>
          </w:p>
          <w:p>
            <w:pPr>
              <w:adjustRightInd w:val="0"/>
              <w:snapToGrid w:val="0"/>
              <w:spacing w:line="360" w:lineRule="auto"/>
              <w:ind w:right="105" w:rightChars="50" w:firstLine="396" w:firstLineChars="200"/>
              <w:textAlignment w:val="baseline"/>
              <w:rPr>
                <w:rFonts w:hint="default" w:ascii="宋体" w:hAnsi="宋体" w:eastAsia="宋体" w:cs="Arial"/>
                <w:color w:val="auto"/>
                <w:spacing w:val="-6"/>
                <w:sz w:val="21"/>
                <w:szCs w:val="21"/>
                <w:lang w:val="en-US" w:eastAsia="zh-CN"/>
              </w:rPr>
            </w:pPr>
            <w:r>
              <w:rPr>
                <w:rFonts w:hint="eastAsia" w:ascii="宋体" w:hAnsi="宋体" w:cs="Arial"/>
                <w:color w:val="auto"/>
                <w:spacing w:val="-6"/>
                <w:sz w:val="21"/>
                <w:szCs w:val="21"/>
                <w:lang w:val="en-US" w:eastAsia="zh-CN"/>
              </w:rPr>
              <w:t>保持</w:t>
            </w:r>
            <w:r>
              <w:rPr>
                <w:rFonts w:hint="eastAsia" w:ascii="宋体" w:hAnsi="宋体" w:cs="Arial"/>
                <w:color w:val="auto"/>
                <w:spacing w:val="-6"/>
                <w:sz w:val="21"/>
                <w:szCs w:val="21"/>
              </w:rPr>
              <w:t>程序文件2</w:t>
            </w:r>
            <w:r>
              <w:rPr>
                <w:rFonts w:hint="eastAsia" w:ascii="宋体" w:hAnsi="宋体" w:cs="Arial"/>
                <w:color w:val="auto"/>
                <w:spacing w:val="-6"/>
                <w:sz w:val="21"/>
                <w:szCs w:val="21"/>
                <w:lang w:val="en-US" w:eastAsia="zh-CN"/>
              </w:rPr>
              <w:t>6</w:t>
            </w:r>
            <w:r>
              <w:rPr>
                <w:rFonts w:hint="eastAsia" w:ascii="宋体" w:hAnsi="宋体" w:cs="Arial"/>
                <w:color w:val="auto"/>
                <w:spacing w:val="-6"/>
                <w:sz w:val="21"/>
                <w:szCs w:val="21"/>
              </w:rPr>
              <w:t>个，版本号：A/</w:t>
            </w:r>
            <w:r>
              <w:rPr>
                <w:rFonts w:hint="eastAsia" w:ascii="宋体" w:hAnsi="宋体" w:cs="Arial"/>
                <w:color w:val="auto"/>
                <w:spacing w:val="-6"/>
                <w:sz w:val="21"/>
                <w:szCs w:val="21"/>
                <w:lang w:val="en-US" w:eastAsia="zh-CN"/>
              </w:rPr>
              <w:t>0</w:t>
            </w:r>
            <w:r>
              <w:rPr>
                <w:rFonts w:hint="eastAsia" w:ascii="宋体" w:hAnsi="宋体" w:cs="Arial"/>
                <w:color w:val="auto"/>
                <w:spacing w:val="-6"/>
                <w:sz w:val="21"/>
                <w:szCs w:val="21"/>
              </w:rPr>
              <w:t>；废弃物控制程序</w:t>
            </w:r>
            <w:r>
              <w:rPr>
                <w:rFonts w:hint="eastAsia" w:ascii="宋体" w:hAnsi="宋体" w:cs="Arial"/>
                <w:color w:val="auto"/>
                <w:spacing w:val="-6"/>
                <w:sz w:val="21"/>
                <w:szCs w:val="21"/>
                <w:lang w:eastAsia="zh-CN"/>
              </w:rPr>
              <w:t>、</w:t>
            </w:r>
            <w:r>
              <w:rPr>
                <w:rFonts w:hint="eastAsia" w:ascii="宋体" w:hAnsi="宋体" w:cs="Arial"/>
                <w:color w:val="auto"/>
                <w:spacing w:val="-6"/>
                <w:sz w:val="21"/>
                <w:szCs w:val="21"/>
              </w:rPr>
              <w:t>噪声控制程序</w:t>
            </w:r>
            <w:r>
              <w:rPr>
                <w:rFonts w:hint="eastAsia" w:ascii="宋体" w:hAnsi="宋体" w:cs="Arial"/>
                <w:color w:val="auto"/>
                <w:spacing w:val="-6"/>
                <w:sz w:val="21"/>
                <w:szCs w:val="21"/>
                <w:lang w:eastAsia="zh-CN"/>
              </w:rPr>
              <w:t>、</w:t>
            </w:r>
            <w:r>
              <w:rPr>
                <w:rFonts w:hint="eastAsia" w:ascii="宋体" w:hAnsi="宋体" w:cs="Arial"/>
                <w:color w:val="auto"/>
                <w:spacing w:val="-6"/>
                <w:sz w:val="21"/>
                <w:szCs w:val="21"/>
              </w:rPr>
              <w:t>消防控制程序</w:t>
            </w:r>
            <w:r>
              <w:rPr>
                <w:rFonts w:hint="eastAsia" w:ascii="宋体" w:hAnsi="宋体" w:cs="Arial"/>
                <w:color w:val="auto"/>
                <w:spacing w:val="-6"/>
                <w:sz w:val="21"/>
                <w:szCs w:val="21"/>
                <w:lang w:eastAsia="zh-CN"/>
              </w:rPr>
              <w:t>、顾客满意度控制程序、采购控制程序、销售和服务管理控制程序</w:t>
            </w:r>
            <w:r>
              <w:rPr>
                <w:rFonts w:hint="eastAsia" w:ascii="宋体" w:hAnsi="宋体" w:cs="Arial"/>
                <w:color w:val="auto"/>
                <w:spacing w:val="-6"/>
                <w:sz w:val="21"/>
                <w:szCs w:val="21"/>
                <w:lang w:val="en-US" w:eastAsia="zh-CN"/>
              </w:rPr>
              <w:t>等；</w:t>
            </w:r>
          </w:p>
          <w:p>
            <w:pPr>
              <w:adjustRightInd w:val="0"/>
              <w:snapToGrid w:val="0"/>
              <w:spacing w:line="360" w:lineRule="auto"/>
              <w:ind w:right="105" w:rightChars="50" w:firstLine="396" w:firstLineChars="200"/>
              <w:textAlignment w:val="baseline"/>
              <w:rPr>
                <w:rFonts w:hint="eastAsia" w:ascii="宋体" w:hAnsi="宋体" w:cs="Arial"/>
                <w:color w:val="auto"/>
                <w:spacing w:val="-6"/>
                <w:sz w:val="21"/>
                <w:szCs w:val="21"/>
                <w:highlight w:val="yellow"/>
                <w:lang w:val="en-US" w:eastAsia="zh-CN"/>
              </w:rPr>
            </w:pPr>
            <w:r>
              <w:rPr>
                <w:rFonts w:hint="eastAsia" w:ascii="宋体" w:hAnsi="宋体" w:cs="Arial"/>
                <w:color w:val="auto"/>
                <w:spacing w:val="-6"/>
                <w:sz w:val="21"/>
                <w:szCs w:val="21"/>
                <w:highlight w:val="none"/>
                <w:lang w:val="en-US" w:eastAsia="zh-CN"/>
              </w:rPr>
              <w:t>生产工艺文件、质量检验管理规定、安全生产检查及隐患治理规定、生产现场管理规定、环境保护管理规定、操作规程等；</w:t>
            </w:r>
          </w:p>
          <w:p>
            <w:pPr>
              <w:adjustRightInd w:val="0"/>
              <w:snapToGrid w:val="0"/>
              <w:spacing w:line="360" w:lineRule="auto"/>
              <w:ind w:right="105" w:rightChars="50" w:firstLine="396" w:firstLineChars="200"/>
              <w:textAlignment w:val="baseline"/>
              <w:rPr>
                <w:rFonts w:hint="default"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建立有外来文件清单</w:t>
            </w:r>
            <w:r>
              <w:rPr>
                <w:rFonts w:hint="eastAsia" w:ascii="宋体" w:hAnsi="宋体" w:cs="Arial"/>
                <w:color w:val="auto"/>
                <w:spacing w:val="-6"/>
                <w:sz w:val="21"/>
                <w:szCs w:val="21"/>
                <w:highlight w:val="none"/>
                <w:lang w:val="en-US" w:eastAsia="zh-CN"/>
              </w:rPr>
              <w:t>，收集相关法律法规和产品标准-HG/T2006-2006热固性粉末涂料等；</w:t>
            </w:r>
          </w:p>
          <w:p>
            <w:pPr>
              <w:adjustRightInd w:val="0"/>
              <w:snapToGrid w:val="0"/>
              <w:spacing w:line="360" w:lineRule="auto"/>
              <w:ind w:right="105" w:rightChars="50" w:firstLine="396" w:firstLineChars="200"/>
              <w:textAlignment w:val="baseline"/>
              <w:rPr>
                <w:rFonts w:ascii="宋体" w:hAnsi="宋体"/>
                <w:b/>
                <w:color w:val="000000" w:themeColor="text1"/>
                <w:sz w:val="20"/>
                <w:szCs w:val="20"/>
              </w:rPr>
            </w:pPr>
            <w:r>
              <w:rPr>
                <w:rFonts w:hint="eastAsia" w:ascii="宋体" w:hAnsi="宋体" w:cs="Arial"/>
                <w:color w:val="auto"/>
                <w:spacing w:val="-6"/>
                <w:sz w:val="21"/>
                <w:szCs w:val="21"/>
                <w:lang w:val="en-US" w:eastAsia="zh-CN"/>
              </w:rPr>
              <w:t>文件化管理体系目前基本满足要求。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60" w:lineRule="auto"/>
              <w:rPr>
                <w:b/>
                <w:color w:val="000000" w:themeColor="text1"/>
                <w:sz w:val="20"/>
                <w:szCs w:val="20"/>
              </w:rPr>
            </w:pPr>
            <w:r>
              <w:rPr>
                <w:rFonts w:hint="eastAsia" w:ascii="宋体" w:hAnsi="宋体"/>
                <w:b/>
                <w:color w:val="000000" w:themeColor="text1"/>
                <w:sz w:val="20"/>
                <w:szCs w:val="20"/>
              </w:rPr>
              <w:t>人力资源的简要说明:</w:t>
            </w:r>
          </w:p>
          <w:p>
            <w:pPr>
              <w:spacing w:line="360" w:lineRule="auto"/>
              <w:ind w:firstLine="396" w:firstLineChars="200"/>
              <w:rPr>
                <w:rFonts w:hint="default" w:ascii="宋体" w:hAnsi="宋体"/>
                <w:b/>
                <w:color w:val="000000" w:themeColor="text1"/>
                <w:sz w:val="20"/>
                <w:szCs w:val="20"/>
                <w:lang w:val="en-US"/>
              </w:rPr>
            </w:pPr>
            <w:r>
              <w:rPr>
                <w:rFonts w:hint="eastAsia" w:ascii="宋体" w:hAnsi="宋体" w:eastAsia="宋体" w:cs="Arial"/>
                <w:color w:val="auto"/>
                <w:spacing w:val="-6"/>
                <w:sz w:val="21"/>
                <w:szCs w:val="21"/>
                <w:lang w:val="en-US" w:eastAsia="zh-CN"/>
              </w:rPr>
              <w:t>现有职工20余人，企业负责人、电工持证上岗。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adjustRightInd w:val="0"/>
              <w:snapToGrid w:val="0"/>
              <w:spacing w:line="360" w:lineRule="auto"/>
              <w:ind w:right="105" w:rightChars="50" w:firstLine="396" w:firstLineChars="200"/>
              <w:textAlignment w:val="baseline"/>
              <w:rPr>
                <w:rFonts w:ascii="宋体" w:hAnsi="宋体"/>
                <w:b/>
                <w:color w:val="000000" w:themeColor="text1"/>
                <w:sz w:val="20"/>
                <w:szCs w:val="20"/>
              </w:rPr>
            </w:pPr>
            <w:r>
              <w:rPr>
                <w:rFonts w:hint="eastAsia" w:ascii="宋体" w:hAnsi="宋体" w:cs="Arial"/>
                <w:color w:val="auto"/>
                <w:spacing w:val="-6"/>
                <w:sz w:val="21"/>
                <w:szCs w:val="21"/>
                <w:lang w:val="en-US" w:eastAsia="zh-CN"/>
              </w:rPr>
              <w:t>主要设备有小样机、搅拌机、双螺杆挤出机、风冷覆带式压片破碎机、立式磨粉机等；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ascii="宋体" w:hAnsi="宋体"/>
                <w:b/>
                <w:color w:val="000000" w:themeColor="text1"/>
                <w:sz w:val="20"/>
                <w:szCs w:val="20"/>
              </w:rPr>
            </w:pPr>
            <w:r>
              <w:rPr>
                <w:rFonts w:hint="eastAsia" w:asciiTheme="minorEastAsia" w:hAnsiTheme="minorEastAsia" w:eastAsiaTheme="minorEastAsia" w:cstheme="minorEastAsia"/>
                <w:lang w:val="en-US" w:eastAsia="zh-CN"/>
              </w:rPr>
              <w:t>现场观察，目前车间有8条生产线在运行，设备运转情况良好、接地良好；各种标志、标线清晰，但是灰尘比较厚；</w:t>
            </w:r>
            <w:r>
              <w:rPr>
                <w:rFonts w:hint="eastAsia" w:asciiTheme="minorEastAsia" w:hAnsiTheme="minorEastAsia" w:eastAsiaTheme="minorEastAsia" w:cstheme="minorEastAsia"/>
              </w:rPr>
              <w:t>对火灾应急设施、安防设施运行情况等进行了检查维护</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灭火器有检查，现场查看状况良好，作业人员穿戴工服、工作帽和过滤式呼吸器；厂区分上下两层设置，上层配料和搅拌，搅拌后的预混料利用重力下投至挤出机，布置合理；设备定置、安全防护装置良好，确保作业人员不接触到高温部件和部位，保持安全间距，车间通道通畅，符合要求；照明能满足工作照度要求，温湿度满足生产要求；强制通风、通风口建有积尘室，布袋式除尘装置运行正常，收集生产过程中产生的粉尘，再次利用；循环水冷却塔和风冷机工作正常；有少量灰尘，无乱拉乱接电线；作业区域无明显噪声和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60" w:lineRule="auto"/>
              <w:rPr>
                <w:rFonts w:hint="eastAsia"/>
              </w:rPr>
            </w:pPr>
            <w:r>
              <w:rPr>
                <w:rFonts w:hint="eastAsia"/>
              </w:rPr>
              <w:t>监视和测量资源</w:t>
            </w:r>
          </w:p>
          <w:p>
            <w:pPr>
              <w:pStyle w:val="2"/>
              <w:spacing w:line="360" w:lineRule="auto"/>
              <w:rPr>
                <w:rFonts w:hint="default" w:eastAsia="宋体"/>
                <w:lang w:val="en-US" w:eastAsia="zh-CN"/>
              </w:rPr>
            </w:pPr>
            <w:r>
              <w:rPr>
                <w:rFonts w:hint="eastAsia"/>
              </w:rPr>
              <w:t>主要检测设备包括：涂层测厚仪、电子台称、光泽仪等；</w:t>
            </w:r>
            <w:r>
              <w:rPr>
                <w:rFonts w:hint="eastAsia"/>
                <w:lang w:val="en-US" w:eastAsia="zh-CN"/>
              </w:rPr>
              <w:t>均保留了校准证书。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公司各部门按照职责从内外部各种渠道获得与其职责相关所需的知识，包括操作规程、管理技巧与经验、失败和事故的案例分析、科研成果、商标等；把知识形成各种规章制度用于指导公司的日常工作和管理，包括体系文件、支持性文件、各种记录表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从内部来源获取的有：多年的工作经验、教训、内部的知识产权等；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外部来源获取有：标杆对比、行业会议、客户技术要求、咨询老师传授的体系知识及所实施的内审员的培训；顾客方提供的资料等。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b/>
                <w:color w:val="000000" w:themeColor="text1"/>
                <w:sz w:val="20"/>
                <w:szCs w:val="20"/>
              </w:rPr>
            </w:pPr>
            <w:r>
              <w:rPr>
                <w:rFonts w:hint="default" w:ascii="Times New Roman" w:hAnsi="Times New Roman" w:cs="Times New Roman" w:eastAsiaTheme="minorEastAsia"/>
                <w:sz w:val="21"/>
                <w:szCs w:val="21"/>
                <w:lang w:val="en-US" w:eastAsia="zh-CN"/>
              </w:rPr>
              <w:t>在应对变化的需求和趋势时，相关部门考虑现有的知识，确定如何获取更多的必要的额外知识，并根据变化的情况及时更新。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60" w:lineRule="auto"/>
              <w:rPr>
                <w:rFonts w:hint="eastAsia"/>
              </w:rPr>
            </w:pPr>
            <w:r>
              <w:rPr>
                <w:rFonts w:hint="eastAsia"/>
              </w:rPr>
              <w:t>环保设施：</w:t>
            </w:r>
          </w:p>
          <w:p>
            <w:pPr>
              <w:pStyle w:val="2"/>
              <w:spacing w:line="360" w:lineRule="auto"/>
            </w:pPr>
            <w:r>
              <w:rPr>
                <w:rFonts w:hint="eastAsia" w:ascii="宋体" w:hAnsi="宋体" w:cs="Arial"/>
                <w:color w:val="auto"/>
                <w:spacing w:val="-6"/>
                <w:sz w:val="21"/>
                <w:szCs w:val="21"/>
                <w:highlight w:val="none"/>
                <w:lang w:val="en-US" w:eastAsia="zh-CN"/>
              </w:rPr>
              <w:t>安全环保设施包括有灭火器、除尘装置、循环水冷却塔、个体防</w:t>
            </w:r>
            <w:r>
              <w:rPr>
                <w:rFonts w:hint="eastAsia" w:ascii="宋体" w:hAnsi="宋体" w:cs="Arial"/>
                <w:color w:val="auto"/>
                <w:spacing w:val="-6"/>
                <w:sz w:val="21"/>
                <w:szCs w:val="21"/>
                <w:lang w:val="en-US" w:eastAsia="zh-CN"/>
              </w:rPr>
              <w:t>护用品、垃圾桶等；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60" w:lineRule="auto"/>
              <w:rPr>
                <w:rFonts w:hint="eastAsia"/>
              </w:rPr>
            </w:pPr>
            <w:r>
              <w:rPr>
                <w:rFonts w:hint="eastAsia"/>
              </w:rPr>
              <w:t>职业健康安全设施：</w:t>
            </w:r>
          </w:p>
          <w:p>
            <w:pPr>
              <w:pStyle w:val="2"/>
              <w:spacing w:line="360" w:lineRule="auto"/>
            </w:pPr>
            <w:r>
              <w:rPr>
                <w:rFonts w:hint="eastAsia" w:ascii="宋体" w:hAnsi="宋体" w:cs="Arial"/>
                <w:color w:val="auto"/>
                <w:spacing w:val="-6"/>
                <w:sz w:val="21"/>
                <w:szCs w:val="21"/>
                <w:highlight w:val="none"/>
                <w:lang w:val="en-US" w:eastAsia="zh-CN"/>
              </w:rPr>
              <w:t>安全环保设施包括有灭火器、除尘装置、循环水冷却塔、个体防</w:t>
            </w:r>
            <w:r>
              <w:rPr>
                <w:rFonts w:hint="eastAsia" w:ascii="宋体" w:hAnsi="宋体" w:cs="Arial"/>
                <w:color w:val="auto"/>
                <w:spacing w:val="-6"/>
                <w:sz w:val="21"/>
                <w:szCs w:val="21"/>
                <w:lang w:val="en-US" w:eastAsia="zh-CN"/>
              </w:rPr>
              <w:t>护用品、垃圾桶等；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60" w:lineRule="auto"/>
            </w:pPr>
            <w:r>
              <w:rPr>
                <w:rFonts w:hint="eastAsia"/>
              </w:rPr>
              <w:t>1. 针对方针的管理职责评审</w:t>
            </w:r>
          </w:p>
          <w:p>
            <w:pPr>
              <w:spacing w:line="360" w:lineRule="auto"/>
              <w:ind w:left="1"/>
              <w:rPr>
                <w:rFonts w:hint="eastAsia"/>
              </w:rPr>
            </w:pPr>
            <w:r>
              <w:rPr>
                <w:rFonts w:hint="eastAsia"/>
              </w:rPr>
              <w:t>（包括针对组织宗旨，制定相关管理方针政策、确保方针为员工理解并在运营中实施，监视方针的实施并评审方针的适宜性）</w:t>
            </w:r>
          </w:p>
          <w:p>
            <w:pPr>
              <w:adjustRightInd w:val="0"/>
              <w:snapToGrid w:val="0"/>
              <w:spacing w:line="360" w:lineRule="auto"/>
              <w:ind w:right="105" w:rightChars="50" w:firstLine="372"/>
              <w:textAlignment w:val="baseline"/>
            </w:pPr>
            <w:r>
              <w:rPr>
                <w:rFonts w:hint="eastAsia" w:ascii="宋体" w:hAnsi="宋体" w:cs="Arial"/>
                <w:spacing w:val="-6"/>
                <w:sz w:val="21"/>
                <w:szCs w:val="21"/>
              </w:rPr>
              <w:t>方针符合组织的宗旨，一体化管理方针形成文件传达到全体员工，确保得到有效控制，使全体员工正确理解并坚决执行，且应定期对其适宜性进行评审。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内部沟通的情况：内部沟通方式：借助于会议、电话、口头交流等方式使全体员工达到沟通和理解</w:t>
            </w:r>
          </w:p>
          <w:p>
            <w:pPr>
              <w:spacing w:line="240" w:lineRule="exact"/>
              <w:rPr>
                <w:rFonts w:hint="eastAsia" w:ascii="楷体_GB2312" w:eastAsia="楷体_GB2312"/>
                <w:b/>
                <w:color w:val="000000" w:themeColor="text1"/>
                <w:sz w:val="20"/>
                <w:szCs w:val="20"/>
                <w:lang w:val="en-US" w:eastAsia="zh-CN"/>
              </w:rPr>
            </w:pPr>
            <w:r>
              <w:rPr>
                <w:rFonts w:hint="eastAsia" w:ascii="楷体_GB2312" w:eastAsia="楷体_GB2312"/>
                <w:b/>
                <w:color w:val="000000" w:themeColor="text1"/>
                <w:sz w:val="20"/>
                <w:szCs w:val="20"/>
              </w:rPr>
              <w:t xml:space="preserve">                内部沟通的效果：</w:t>
            </w:r>
            <w:r>
              <w:rPr>
                <w:rFonts w:hint="eastAsia" w:ascii="楷体_GB2312" w:eastAsia="楷体_GB2312"/>
                <w:b/>
                <w:color w:val="000000" w:themeColor="text1"/>
                <w:sz w:val="20"/>
                <w:szCs w:val="20"/>
                <w:lang w:val="en-US" w:eastAsia="zh-CN"/>
              </w:rPr>
              <w:t>有效</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组织对外联络，关注顾客的感受情况（QMS）：顾客满意度评价、合同等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按建立的信息交流、协商和沟通控制程序及公司合规义务的要求，就三标一体化管理体系的相关信息进行外部信息交流，与进入工作场所的承包方和其他访问者进行沟通；接收、记录和回应来自外部相关方的相关沟通。</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重要环境因素信息对外交流情况（EMS填写）：相关方告知书、张贴警示标记</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OHSMS事务代表协商和交流的情况（OHSMS填写）：确定职业健康安全事务代表是</w:t>
            </w:r>
            <w:r>
              <w:rPr>
                <w:rFonts w:hint="eastAsia" w:ascii="楷体_GB2312" w:eastAsia="楷体_GB2312"/>
                <w:b/>
                <w:color w:val="000000" w:themeColor="text1"/>
                <w:sz w:val="20"/>
                <w:szCs w:val="20"/>
                <w:lang w:val="en-US" w:eastAsia="zh-CN"/>
              </w:rPr>
              <w:t>洪荣军</w:t>
            </w:r>
            <w:r>
              <w:rPr>
                <w:rFonts w:hint="eastAsia" w:ascii="楷体_GB2312" w:eastAsia="楷体_GB2312"/>
                <w:b/>
                <w:color w:val="000000" w:themeColor="text1"/>
                <w:sz w:val="20"/>
                <w:szCs w:val="20"/>
              </w:rPr>
              <w:t>，参与公司的职业健康安全事务。相关人员能够适当参与并协商办理公司经营管理及安全事务等工作。</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与相关方协商的情况（OHSMS填写）：与相关方就有关职业健康安全事务进行协商，保留相关方告知书。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keepNext w:val="0"/>
              <w:keepLines w:val="0"/>
              <w:pageBreakBefore w:val="0"/>
              <w:widowControl w:val="0"/>
              <w:kinsoku/>
              <w:wordWrap/>
              <w:overflowPunct/>
              <w:topLinePunct w:val="0"/>
              <w:autoSpaceDE/>
              <w:autoSpaceDN/>
              <w:bidi w:val="0"/>
              <w:adjustRightInd w:val="0"/>
              <w:snapToGrid w:val="0"/>
              <w:spacing w:line="240" w:lineRule="auto"/>
              <w:ind w:right="105" w:rightChars="50" w:firstLine="420" w:firstLineChars="200"/>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策划了产品生产工艺/服务提供流程：</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heme="minorEastAsia" w:hAnsiTheme="minorEastAsia" w:eastAsiaTheme="minorEastAsia" w:cstheme="minorEastAsia"/>
              </w:rPr>
            </w:pPr>
            <w:r>
              <w:rPr>
                <w:rFonts w:hint="eastAsia"/>
                <w:highlight w:val="none"/>
                <w:lang w:val="en-US" w:eastAsia="zh-CN"/>
              </w:rPr>
              <w:t>原材料采购——进货检验——配料——预混合——挤出——粉碎——检验——包装——入库</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通过原材料检验、生产过程检验、成品检验等过程对产品质量等进行监控。</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b/>
                <w:color w:val="000000" w:themeColor="text1"/>
                <w:sz w:val="20"/>
                <w:szCs w:val="20"/>
              </w:rPr>
            </w:pPr>
            <w:r>
              <w:rPr>
                <w:rFonts w:hint="eastAsia" w:ascii="Times New Roman" w:hAnsi="Times New Roman" w:cs="Times New Roman"/>
                <w:highlight w:val="none"/>
                <w:lang w:val="en-US" w:eastAsia="zh-CN"/>
              </w:rPr>
              <w:t>公司按照制定的程序、规程、管理制度等文件对生产过程、采购过程、销售过程、检验与交付过程、绩效分析、评价与改进等过程实施了过程控制。效果明显，未发生质量纠纷。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ind w:firstLine="420" w:firstLineChars="200"/>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策划了</w:t>
            </w:r>
            <w:r>
              <w:rPr>
                <w:rFonts w:hint="default" w:ascii="Times New Roman" w:hAnsi="Times New Roman" w:eastAsia="宋体" w:cs="Times New Roman"/>
                <w:kern w:val="2"/>
                <w:sz w:val="21"/>
                <w:szCs w:val="24"/>
                <w:highlight w:val="none"/>
                <w:lang w:val="en-US" w:eastAsia="zh-CN" w:bidi="ar-SA"/>
              </w:rPr>
              <w:t>接收准则</w:t>
            </w:r>
            <w:r>
              <w:rPr>
                <w:rFonts w:hint="eastAsia" w:ascii="Times New Roman" w:hAnsi="Times New Roman" w:eastAsia="宋体" w:cs="Times New Roman"/>
                <w:kern w:val="2"/>
                <w:sz w:val="21"/>
                <w:szCs w:val="24"/>
                <w:highlight w:val="none"/>
                <w:lang w:val="en-US" w:eastAsia="zh-CN" w:bidi="ar-SA"/>
              </w:rPr>
              <w:t>：HG/T2006-2006热固性粉末涂料</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60" w:lineRule="auto"/>
              <w:ind w:firstLine="210" w:firstLineChars="100"/>
              <w:rPr>
                <w:b/>
                <w:color w:val="000000" w:themeColor="text1"/>
                <w:sz w:val="20"/>
                <w:szCs w:val="20"/>
              </w:rPr>
            </w:pPr>
            <w:r>
              <w:rPr>
                <w:rFonts w:hint="eastAsia" w:asciiTheme="minorEastAsia" w:hAnsiTheme="minorEastAsia" w:eastAsiaTheme="minorEastAsia" w:cstheme="minorEastAsia"/>
                <w:b w:val="0"/>
                <w:bCs w:val="0"/>
                <w:color w:val="auto"/>
                <w:spacing w:val="0"/>
                <w:kern w:val="2"/>
                <w:sz w:val="21"/>
                <w:szCs w:val="22"/>
                <w:highlight w:val="none"/>
                <w:lang w:val="en-US" w:eastAsia="zh-CN" w:bidi="ar-SA"/>
              </w:rPr>
              <w:t>黄高光-P10135A，2021.3.5，、锐克斯塑粉-2021.1.12、P8180棕砂纹-2021.2.4、P8171咖啡色纹-2021.2.4、P40188香槟金-2020.12.30；均由国家涂料质量监督检验中心国恒信（常州）检测认证技术有限公司出具。检验依据、方法、时间、项目等，结果达标。</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heme="minorEastAsia" w:hAnsiTheme="minorEastAsia" w:eastAsiaTheme="minorEastAsia" w:cstheme="minorEastAsia"/>
                <w:b w:val="0"/>
                <w:bCs w:val="0"/>
                <w:color w:val="auto"/>
                <w:spacing w:val="0"/>
                <w:kern w:val="2"/>
                <w:sz w:val="21"/>
                <w:szCs w:val="22"/>
                <w:highlight w:val="none"/>
                <w:lang w:val="en-US" w:eastAsia="zh-CN" w:bidi="ar-SA"/>
              </w:rPr>
            </w:pPr>
            <w:r>
              <w:rPr>
                <w:rFonts w:hint="eastAsia" w:asciiTheme="minorEastAsia" w:hAnsiTheme="minorEastAsia" w:eastAsiaTheme="minorEastAsia" w:cstheme="minorEastAsia"/>
                <w:b w:val="0"/>
                <w:bCs w:val="0"/>
                <w:color w:val="auto"/>
                <w:spacing w:val="0"/>
                <w:kern w:val="2"/>
                <w:sz w:val="21"/>
                <w:szCs w:val="22"/>
                <w:highlight w:val="none"/>
                <w:lang w:val="en-US" w:eastAsia="zh-CN" w:bidi="ar-SA"/>
              </w:rPr>
              <w:t>公司策划了《不符合、纠正和预防措施控制程序》、《事故调查处理控制程序》；有效文件；</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b/>
                <w:color w:val="000000" w:themeColor="text1"/>
                <w:sz w:val="20"/>
                <w:szCs w:val="20"/>
              </w:rPr>
            </w:pPr>
            <w:r>
              <w:rPr>
                <w:rFonts w:hint="eastAsia" w:asciiTheme="minorEastAsia" w:hAnsiTheme="minorEastAsia" w:eastAsiaTheme="minorEastAsia" w:cstheme="minorEastAsia"/>
                <w:b w:val="0"/>
                <w:bCs w:val="0"/>
                <w:color w:val="auto"/>
                <w:spacing w:val="0"/>
                <w:kern w:val="2"/>
                <w:sz w:val="21"/>
                <w:szCs w:val="22"/>
                <w:highlight w:val="none"/>
                <w:lang w:val="en-US" w:eastAsia="zh-CN" w:bidi="ar-SA"/>
              </w:rPr>
              <w:t>对经检验发现的不合格品采取控制措施主要是报废；</w:t>
            </w:r>
            <w:r>
              <w:rPr>
                <w:rFonts w:hint="eastAsia" w:asciiTheme="minorEastAsia" w:hAnsiTheme="minorEastAsia" w:eastAsiaTheme="minorEastAsia" w:cstheme="minorEastAsia"/>
                <w:bCs w:val="0"/>
                <w:color w:val="auto"/>
                <w:spacing w:val="0"/>
                <w:kern w:val="2"/>
                <w:sz w:val="21"/>
                <w:szCs w:val="22"/>
                <w:highlight w:val="none"/>
                <w:lang w:val="en-US" w:eastAsia="zh-CN" w:bidi="ar-SA"/>
              </w:rPr>
              <w:t>公司体系运行以来没发生对不合格品进行让步放行的情况，采购进货检验中发现的不合格品，由质检部负责退回供应商，目前，公司的供应商比较稳定，产品质量达到公司的质量要求，未出现采购不合格的情况。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废水控制：公司生产不产生废水，生产用的冷却水循环使用，不外排</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生活污水排入市政污水管网</w:t>
            </w:r>
            <w:r>
              <w:rPr>
                <w:rFonts w:hint="eastAsia" w:asciiTheme="minorEastAsia" w:hAnsiTheme="minorEastAsia" w:eastAsiaTheme="minorEastAsia" w:cstheme="minorEastAsia"/>
                <w:lang w:eastAsia="zh-CN"/>
              </w:rPr>
              <w:t>；</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噪声控制：生产设备在安装时就采取了减震处理，设备产生的噪音符合国标标准要求，同时，</w:t>
            </w:r>
            <w:r>
              <w:rPr>
                <w:rFonts w:hint="eastAsia" w:asciiTheme="minorEastAsia" w:hAnsiTheme="minorEastAsia" w:eastAsiaTheme="minorEastAsia" w:cstheme="minorEastAsia"/>
                <w:lang w:val="en-US" w:eastAsia="zh-CN"/>
              </w:rPr>
              <w:t>有配发耳塞等劳动防护用品；</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目前公司生产过程产生的废气主要是混料搅拌粉尘、挤出废气</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无组织排放</w:t>
            </w:r>
            <w:r>
              <w:rPr>
                <w:rFonts w:hint="eastAsia" w:asciiTheme="minorEastAsia" w:hAnsiTheme="minorEastAsia" w:eastAsiaTheme="minorEastAsia" w:cstheme="minorEastAsia"/>
                <w:lang w:eastAsia="zh-CN"/>
              </w:rPr>
              <w:t>；</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粉尘控制：在原料混料、搅拌时，会产生粉尘，控制措施是在混料、搅拌工序上方设置集气罩，粉尘经收集后接入布袋除尘处理装置，</w:t>
            </w:r>
            <w:r>
              <w:rPr>
                <w:rFonts w:hint="eastAsia" w:asciiTheme="minorEastAsia" w:hAnsiTheme="minorEastAsia" w:eastAsiaTheme="minorEastAsia" w:cstheme="minorEastAsia"/>
                <w:lang w:val="en-US" w:eastAsia="zh-CN"/>
              </w:rPr>
              <w:t>回收利用</w:t>
            </w:r>
            <w:r>
              <w:rPr>
                <w:rFonts w:hint="eastAsia" w:asciiTheme="minorEastAsia" w:hAnsiTheme="minorEastAsia" w:eastAsiaTheme="minorEastAsia" w:cstheme="minorEastAsia"/>
                <w:lang w:eastAsia="zh-CN"/>
              </w:rPr>
              <w:t>；</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挤出废气：在挤出过程中产生废气，企业在挤出工序上方安装集气罩，废气经过</w:t>
            </w:r>
            <w:r>
              <w:rPr>
                <w:rFonts w:hint="eastAsia" w:asciiTheme="minorEastAsia" w:hAnsiTheme="minorEastAsia" w:eastAsiaTheme="minorEastAsia" w:cstheme="minorEastAsia"/>
                <w:lang w:val="en-US" w:eastAsia="zh-CN"/>
              </w:rPr>
              <w:t>活性炭滤芯吸附后排放</w:t>
            </w:r>
            <w:r>
              <w:rPr>
                <w:rFonts w:hint="eastAsia" w:asciiTheme="minorEastAsia" w:hAnsiTheme="minorEastAsia" w:eastAsiaTheme="minorEastAsia" w:cstheme="minorEastAsia"/>
                <w:lang w:eastAsia="zh-CN"/>
              </w:rPr>
              <w:t>；</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固废控制：</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办公</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垃圾交环卫部门处理，硒鼓墨盒交厂家回收</w:t>
            </w:r>
            <w:r>
              <w:rPr>
                <w:rFonts w:hint="eastAsia" w:asciiTheme="minorEastAsia" w:hAnsiTheme="minorEastAsia" w:eastAsiaTheme="minorEastAsia" w:cstheme="minorEastAsia"/>
                <w:lang w:eastAsia="zh-CN"/>
              </w:rPr>
              <w:t>；</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生产固废，收集后重复利用</w:t>
            </w:r>
            <w:r>
              <w:rPr>
                <w:rFonts w:hint="eastAsia" w:asciiTheme="minorEastAsia" w:hAnsiTheme="minorEastAsia" w:eastAsiaTheme="minorEastAsia" w:cstheme="minorEastAsia"/>
                <w:lang w:val="en-US" w:eastAsia="zh-CN"/>
              </w:rPr>
              <w:t>；现场</w:t>
            </w:r>
            <w:r>
              <w:rPr>
                <w:rFonts w:hint="eastAsia" w:asciiTheme="minorEastAsia" w:hAnsiTheme="minorEastAsia" w:eastAsiaTheme="minorEastAsia" w:cstheme="minorEastAsia"/>
              </w:rPr>
              <w:t>查见公司生产过程中产生的废料、包装废弃物等一般固废</w:t>
            </w:r>
            <w:r>
              <w:rPr>
                <w:rFonts w:hint="eastAsia" w:asciiTheme="minorEastAsia" w:hAnsiTheme="minorEastAsia" w:eastAsiaTheme="minorEastAsia" w:cstheme="minorEastAsia"/>
                <w:lang w:val="en-US" w:eastAsia="zh-CN"/>
              </w:rPr>
              <w:t>集中统一处理。</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经查，活性炭滤芯主要吸附粉尘，一般固体废物，不需要特别处理；</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少量危废主要是废机油以旧换新，交由有供应商带回处理；</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能资源管理：公司规定人走灯灭，人走关水等节能节水措施，并互相监督</w:t>
            </w:r>
            <w:r>
              <w:rPr>
                <w:rFonts w:hint="eastAsia" w:asciiTheme="minorEastAsia" w:hAnsiTheme="minorEastAsia" w:eastAsiaTheme="minorEastAsia" w:cstheme="minorEastAsia"/>
                <w:lang w:eastAsia="zh-CN"/>
              </w:rPr>
              <w:t>；</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b/>
                <w:color w:val="000000" w:themeColor="text1"/>
                <w:sz w:val="20"/>
                <w:szCs w:val="20"/>
              </w:rPr>
            </w:pPr>
            <w:r>
              <w:rPr>
                <w:rFonts w:hint="eastAsia" w:asciiTheme="minorEastAsia" w:hAnsiTheme="minorEastAsia" w:eastAsiaTheme="minorEastAsia" w:cstheme="minorEastAsia"/>
              </w:rPr>
              <w:t>火灾事故预防：公司配备有灭火器等消防设施，有应急预案，相关人员经过培训。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rPr>
            </w:pPr>
            <w:r>
              <w:rPr>
                <w:rFonts w:hint="eastAsia"/>
              </w:rPr>
              <w:t>8. OHSMS组织对不可接受风险实施控制的结果</w:t>
            </w:r>
          </w:p>
          <w:p>
            <w:pPr>
              <w:adjustRightInd w:val="0"/>
              <w:snapToGrid w:val="0"/>
              <w:spacing w:line="360" w:lineRule="auto"/>
              <w:ind w:right="105" w:rightChars="50" w:firstLine="396" w:firstLineChars="200"/>
              <w:textAlignment w:val="baseline"/>
              <w:rPr>
                <w:rFonts w:hint="eastAsia" w:ascii="宋体" w:hAnsi="宋体" w:cs="Arial"/>
                <w:color w:val="auto"/>
                <w:spacing w:val="-6"/>
                <w:sz w:val="21"/>
                <w:szCs w:val="21"/>
                <w:lang w:val="en-US" w:eastAsia="zh-CN"/>
              </w:rPr>
            </w:pPr>
            <w:r>
              <w:rPr>
                <w:rFonts w:hint="eastAsia" w:ascii="宋体" w:hAnsi="宋体" w:cs="Arial"/>
                <w:color w:val="auto"/>
                <w:spacing w:val="-6"/>
                <w:sz w:val="21"/>
                <w:szCs w:val="21"/>
              </w:rPr>
              <w:t>不可接受风险有：</w:t>
            </w:r>
            <w:r>
              <w:rPr>
                <w:rFonts w:hint="eastAsia" w:ascii="宋体"/>
                <w:color w:val="000000"/>
                <w:sz w:val="20"/>
                <w:szCs w:val="20"/>
              </w:rPr>
              <w:t>机械伤害、触电伤害、潜在火灾、吸入性伤害/爆炸</w:t>
            </w:r>
            <w:r>
              <w:rPr>
                <w:rFonts w:hint="eastAsia" w:ascii="宋体"/>
                <w:color w:val="000000"/>
                <w:sz w:val="20"/>
                <w:szCs w:val="20"/>
                <w:lang w:val="en-US" w:eastAsia="zh-CN"/>
              </w:rPr>
              <w:t>等</w:t>
            </w:r>
            <w:r>
              <w:rPr>
                <w:rFonts w:hint="eastAsia" w:ascii="宋体" w:hAnsi="宋体" w:cs="Arial"/>
                <w:color w:val="auto"/>
                <w:spacing w:val="-6"/>
                <w:sz w:val="21"/>
                <w:szCs w:val="21"/>
                <w:lang w:val="en-US" w:eastAsia="zh-CN"/>
              </w:rPr>
              <w:t>；</w:t>
            </w:r>
          </w:p>
          <w:p>
            <w:pPr>
              <w:adjustRightInd w:val="0"/>
              <w:snapToGrid w:val="0"/>
              <w:spacing w:line="360" w:lineRule="auto"/>
              <w:ind w:right="105" w:rightChars="50" w:firstLine="396" w:firstLineChars="200"/>
              <w:textAlignment w:val="baseline"/>
              <w:rPr>
                <w:rFonts w:hint="eastAsia" w:ascii="宋体" w:hAnsi="宋体" w:cs="Arial"/>
                <w:color w:val="auto"/>
                <w:spacing w:val="-6"/>
                <w:sz w:val="21"/>
                <w:szCs w:val="21"/>
              </w:rPr>
            </w:pPr>
            <w:r>
              <w:rPr>
                <w:rFonts w:hint="eastAsia" w:ascii="宋体" w:hAnsi="宋体" w:cs="Arial"/>
                <w:color w:val="auto"/>
                <w:spacing w:val="-6"/>
                <w:sz w:val="21"/>
                <w:szCs w:val="21"/>
              </w:rPr>
              <w:t>控制措施：</w:t>
            </w:r>
          </w:p>
          <w:p>
            <w:pPr>
              <w:pStyle w:val="2"/>
              <w:rPr>
                <w:rFonts w:hint="eastAsia"/>
              </w:rPr>
            </w:pPr>
            <w:r>
              <w:rPr>
                <w:rFonts w:hint="eastAsia"/>
              </w:rPr>
              <w:t>通用控制措施——</w:t>
            </w:r>
          </w:p>
          <w:p>
            <w:pPr>
              <w:pStyle w:val="2"/>
              <w:ind w:firstLine="630" w:firstLineChars="300"/>
              <w:rPr>
                <w:rFonts w:hint="eastAsia"/>
              </w:rPr>
            </w:pPr>
            <w:r>
              <w:rPr>
                <w:rFonts w:hint="eastAsia"/>
              </w:rPr>
              <w:t>制定目标、指标，编制运行控制文件，运行控制；设置警示标志标识；</w:t>
            </w:r>
          </w:p>
          <w:p>
            <w:pPr>
              <w:pStyle w:val="2"/>
              <w:ind w:firstLine="630" w:firstLineChars="300"/>
              <w:rPr>
                <w:rFonts w:hint="eastAsia"/>
              </w:rPr>
            </w:pPr>
            <w:r>
              <w:rPr>
                <w:rFonts w:hint="eastAsia"/>
              </w:rPr>
              <w:t>定期监测职业危害因素并公示；一旦发生按相关应急预案执行。</w:t>
            </w:r>
          </w:p>
          <w:p>
            <w:pPr>
              <w:pStyle w:val="2"/>
              <w:rPr>
                <w:rFonts w:hint="eastAsia"/>
              </w:rPr>
            </w:pPr>
            <w:r>
              <w:rPr>
                <w:rFonts w:hint="eastAsia"/>
              </w:rPr>
              <w:t>火灾，触电——</w:t>
            </w:r>
          </w:p>
          <w:p>
            <w:pPr>
              <w:pStyle w:val="2"/>
              <w:ind w:firstLine="630" w:firstLineChars="300"/>
              <w:rPr>
                <w:rFonts w:hint="eastAsia"/>
              </w:rPr>
            </w:pPr>
            <w:r>
              <w:rPr>
                <w:rFonts w:hint="eastAsia"/>
              </w:rPr>
              <w:t>设备、电路定期检修、检查，人员持证上岗；配置消防器材、做好火灾预防措施；</w:t>
            </w:r>
          </w:p>
          <w:p>
            <w:pPr>
              <w:pStyle w:val="2"/>
              <w:rPr>
                <w:rFonts w:hint="eastAsia"/>
              </w:rPr>
            </w:pPr>
            <w:r>
              <w:rPr>
                <w:rFonts w:hint="eastAsia"/>
              </w:rPr>
              <w:t>粉尘/废气伤害、粉尘爆炸——</w:t>
            </w:r>
          </w:p>
          <w:p>
            <w:pPr>
              <w:pStyle w:val="2"/>
              <w:ind w:firstLine="630" w:firstLineChars="300"/>
              <w:rPr>
                <w:rFonts w:hint="eastAsia"/>
              </w:rPr>
            </w:pPr>
            <w:r>
              <w:rPr>
                <w:rFonts w:hint="eastAsia"/>
              </w:rPr>
              <w:t>配置环保设施（吸/除尘、废气吸附），配置个人防护用品并监督使用；加强通风、降低粉尘浓度；</w:t>
            </w:r>
          </w:p>
          <w:p>
            <w:pPr>
              <w:pStyle w:val="2"/>
              <w:rPr>
                <w:rFonts w:hint="eastAsia"/>
              </w:rPr>
            </w:pPr>
            <w:r>
              <w:rPr>
                <w:rFonts w:hint="eastAsia"/>
              </w:rPr>
              <w:t>噪声伤害——</w:t>
            </w:r>
          </w:p>
          <w:p>
            <w:pPr>
              <w:pStyle w:val="2"/>
              <w:ind w:firstLine="630" w:firstLineChars="300"/>
              <w:rPr>
                <w:rFonts w:hint="eastAsia"/>
              </w:rPr>
            </w:pPr>
            <w:r>
              <w:rPr>
                <w:rFonts w:hint="eastAsia"/>
              </w:rPr>
              <w:t>选用低噪声设备，合理布局，隔声减震，厂房隔音；加强厂区绿化吸收噪音；</w:t>
            </w:r>
          </w:p>
          <w:p>
            <w:pPr>
              <w:pStyle w:val="2"/>
              <w:rPr>
                <w:rFonts w:hint="eastAsia"/>
              </w:rPr>
            </w:pPr>
            <w:r>
              <w:rPr>
                <w:rFonts w:hint="eastAsia"/>
              </w:rPr>
              <w:t>机械伤害——</w:t>
            </w:r>
          </w:p>
          <w:p>
            <w:pPr>
              <w:pStyle w:val="2"/>
              <w:ind w:firstLine="630" w:firstLineChars="300"/>
              <w:rPr>
                <w:rFonts w:hint="eastAsia"/>
              </w:rPr>
            </w:pPr>
            <w:r>
              <w:rPr>
                <w:rFonts w:hint="eastAsia"/>
              </w:rPr>
              <w:t>设备设施安全防护、加强安全教育，按章作业，加强工艺纪律检查，穿戴个人防护用品。</w:t>
            </w:r>
          </w:p>
          <w:p>
            <w:pPr>
              <w:pStyle w:val="2"/>
              <w:rPr>
                <w:rFonts w:hint="eastAsia"/>
              </w:rPr>
            </w:pPr>
            <w:r>
              <w:rPr>
                <w:rFonts w:hint="eastAsia"/>
                <w:lang w:val="en-US" w:eastAsia="zh-CN"/>
              </w:rPr>
              <w:t>控制有效，未发生安全生产报告事故。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360" w:lineRule="auto"/>
              <w:ind w:firstLine="420" w:firstLineChars="200"/>
              <w:rPr>
                <w:rFonts w:hint="eastAsia"/>
                <w:lang w:val="en-US" w:eastAsia="zh-CN"/>
              </w:rPr>
            </w:pPr>
            <w:r>
              <w:rPr>
                <w:rFonts w:hint="eastAsia"/>
                <w:lang w:val="en-US" w:eastAsia="zh-CN"/>
              </w:rPr>
              <w:t>查见《应急准备和响应控制程序》，有效文件；</w:t>
            </w:r>
          </w:p>
          <w:p>
            <w:pPr>
              <w:spacing w:line="360" w:lineRule="auto"/>
              <w:ind w:firstLine="420" w:firstLineChars="200"/>
              <w:rPr>
                <w:rFonts w:hint="eastAsia"/>
                <w:lang w:val="en-US" w:eastAsia="zh-CN"/>
              </w:rPr>
            </w:pPr>
            <w:r>
              <w:rPr>
                <w:rFonts w:hint="eastAsia"/>
                <w:lang w:val="en-US" w:eastAsia="zh-CN"/>
              </w:rPr>
              <w:t>查见“应急救援预案”，2020年11月10日，编制有物体打击应急预案、火灾应急预案、机械伤害应急预案、触电事故应急预案、生产车间中暑应急预案等，预案编制基本适用，建议根据应急预案编制导则编制综合应急预案，交流；</w:t>
            </w:r>
          </w:p>
          <w:p>
            <w:pPr>
              <w:spacing w:line="360" w:lineRule="auto"/>
              <w:ind w:firstLine="420" w:firstLineChars="200"/>
              <w:rPr>
                <w:rFonts w:hint="eastAsia"/>
                <w:lang w:val="en-US" w:eastAsia="zh-CN"/>
              </w:rPr>
            </w:pPr>
            <w:r>
              <w:rPr>
                <w:rFonts w:hint="eastAsia"/>
                <w:lang w:val="en-US" w:eastAsia="zh-CN"/>
              </w:rPr>
              <w:t>查见“环境、安全检查记录表”，显示对应急物资进行了配置和管理；建议应急物资增加常用急救的用品和药品，交流；</w:t>
            </w:r>
          </w:p>
          <w:p>
            <w:pPr>
              <w:spacing w:line="360" w:lineRule="auto"/>
              <w:ind w:firstLine="420" w:firstLineChars="200"/>
              <w:rPr>
                <w:rFonts w:hint="eastAsia"/>
                <w:lang w:val="en-US" w:eastAsia="zh-CN"/>
              </w:rPr>
            </w:pPr>
            <w:r>
              <w:rPr>
                <w:rFonts w:hint="eastAsia"/>
                <w:lang w:val="en-US" w:eastAsia="zh-CN"/>
              </w:rPr>
              <w:t>查见“火灾事故应急救援预案演练记录”，保留有应急演练前的培训记录、演练过程记录和演练评价，本次演练未提出整改要求。</w:t>
            </w:r>
          </w:p>
          <w:p>
            <w:pPr>
              <w:spacing w:line="360" w:lineRule="auto"/>
              <w:ind w:firstLine="420" w:firstLineChars="200"/>
              <w:rPr>
                <w:b/>
                <w:color w:val="000000" w:themeColor="text1"/>
                <w:spacing w:val="-4"/>
                <w:sz w:val="20"/>
                <w:szCs w:val="20"/>
              </w:rPr>
            </w:pPr>
            <w:r>
              <w:rPr>
                <w:rFonts w:hint="default"/>
                <w:lang w:val="en-US" w:eastAsia="zh-CN"/>
              </w:rPr>
              <w:t>自体系运行以来尚未发生紧急情况。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ind w:firstLine="400" w:firstLineChars="200"/>
              <w:rPr>
                <w:b/>
                <w:color w:val="000000" w:themeColor="text1"/>
                <w:sz w:val="20"/>
                <w:szCs w:val="20"/>
              </w:rPr>
            </w:pPr>
            <w:r>
              <w:rPr>
                <w:rFonts w:hint="eastAsia" w:ascii="Times New Roman" w:hAnsi="Times New Roman" w:eastAsia="宋体" w:cs="Times New Roman"/>
                <w:b w:val="0"/>
                <w:bCs/>
                <w:color w:val="000000" w:themeColor="text1"/>
                <w:sz w:val="20"/>
                <w:szCs w:val="20"/>
                <w:lang w:val="en-US" w:eastAsia="zh-CN"/>
              </w:rPr>
              <w:t>对特种设备进行检定，保留鉴定证书。</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rPr>
            </w:pPr>
            <w:r>
              <w:rPr>
                <w:rFonts w:hint="eastAsia"/>
              </w:rPr>
              <w:t>11 .对危险化学品销售、使用、储存、运输处置，规定的执行力度(必要时);</w:t>
            </w:r>
          </w:p>
          <w:p>
            <w:pPr>
              <w:pStyle w:val="2"/>
              <w:rPr>
                <w:rFonts w:hint="eastAsia" w:eastAsia="宋体"/>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360" w:lineRule="auto"/>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360" w:lineRule="auto"/>
              <w:ind w:firstLine="525" w:firstLineChars="250"/>
              <w:rPr>
                <w:b/>
                <w:color w:val="000000" w:themeColor="text1"/>
                <w:sz w:val="20"/>
                <w:szCs w:val="20"/>
              </w:rPr>
            </w:pPr>
            <w:r>
              <w:rPr>
                <w:rFonts w:hint="eastAsia" w:ascii="Times New Roman" w:hAnsi="Times New Roman" w:eastAsia="宋体" w:cs="Times New Roman"/>
                <w:kern w:val="2"/>
                <w:sz w:val="21"/>
                <w:szCs w:val="24"/>
                <w:lang w:val="en-US" w:eastAsia="zh-CN" w:bidi="ar-SA"/>
              </w:rPr>
              <w:t>保留</w:t>
            </w:r>
            <w:r>
              <w:rPr>
                <w:rFonts w:hint="eastAsia"/>
                <w:lang w:val="en-US" w:eastAsia="zh-CN"/>
              </w:rPr>
              <w:t>“</w:t>
            </w:r>
            <w:r>
              <w:rPr>
                <w:rFonts w:hint="default"/>
                <w:lang w:val="en-US" w:eastAsia="zh-CN"/>
              </w:rPr>
              <w:t>质量\环境\职业健康安全目标分解考核表</w:t>
            </w:r>
            <w:r>
              <w:rPr>
                <w:rFonts w:hint="eastAsia"/>
                <w:lang w:val="en-US" w:eastAsia="zh-CN"/>
              </w:rPr>
              <w:t>”，</w:t>
            </w:r>
            <w:r>
              <w:rPr>
                <w:rFonts w:hint="eastAsia" w:ascii="Times New Roman" w:hAnsi="Times New Roman" w:eastAsia="宋体" w:cs="Times New Roman"/>
                <w:kern w:val="2"/>
                <w:sz w:val="21"/>
                <w:szCs w:val="24"/>
                <w:lang w:val="en-US" w:eastAsia="zh-CN" w:bidi="ar-SA"/>
              </w:rPr>
              <w:t>对质量/环境/职业健康安全目标进行年度考核，各部门均完成；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5" w:hangingChars="50"/>
              <w:rPr>
                <w:rFonts w:hint="eastAsia"/>
              </w:rPr>
            </w:pPr>
            <w:r>
              <w:rPr>
                <w:rFonts w:hint="eastAsia"/>
              </w:rPr>
              <w:t>2.顾客满意</w:t>
            </w:r>
          </w:p>
          <w:p>
            <w:pPr>
              <w:pStyle w:val="2"/>
              <w:spacing w:line="360" w:lineRule="auto"/>
            </w:pPr>
            <w:r>
              <w:rPr>
                <w:rFonts w:hint="eastAsia" w:ascii="Times New Roman" w:hAnsi="Times New Roman" w:eastAsia="宋体" w:cs="Times New Roman"/>
                <w:color w:val="auto"/>
                <w:szCs w:val="22"/>
                <w:lang w:val="en-US" w:eastAsia="zh-CN"/>
              </w:rPr>
              <w:t>通过发放顾客满意度调查进行监测，2021年2月4日-- 2021年2月23日，发放调查表</w:t>
            </w:r>
            <w:r>
              <w:rPr>
                <w:rFonts w:hint="eastAsia" w:cs="Times New Roman"/>
                <w:color w:val="auto"/>
                <w:szCs w:val="22"/>
                <w:lang w:val="en-US" w:eastAsia="zh-CN"/>
              </w:rPr>
              <w:t>4</w:t>
            </w:r>
            <w:r>
              <w:rPr>
                <w:rFonts w:hint="eastAsia" w:ascii="Times New Roman" w:hAnsi="Times New Roman" w:eastAsia="宋体" w:cs="Times New Roman"/>
                <w:color w:val="auto"/>
                <w:szCs w:val="22"/>
                <w:lang w:val="en-US" w:eastAsia="zh-CN"/>
              </w:rPr>
              <w:t>份，经统计分析，顾客满意度为97分。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2021年3月1日-3月2日对贯标的各职能部门、生产单位进行内部审核，保留了内审计划、内审记录、不符合报告、内审报告；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内审覆盖了管理体系范围内的活动及标准的要求；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内审结论为：公司三体系运行基本良好，运行达到一定的效果，基本符合标准的要求。</w:t>
            </w:r>
          </w:p>
          <w:p>
            <w:pPr>
              <w:pStyle w:val="2"/>
              <w:spacing w:line="360" w:lineRule="auto"/>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保持《不符合、纠正和预防措施控制程序》、《事故调查处理控制程序》，有效文件，无变化；</w:t>
            </w:r>
          </w:p>
          <w:p>
            <w:pPr>
              <w:pStyle w:val="2"/>
              <w:spacing w:line="360" w:lineRule="auto"/>
              <w:rPr>
                <w:b/>
                <w:color w:val="000000" w:themeColor="text1"/>
                <w:sz w:val="20"/>
                <w:szCs w:val="20"/>
              </w:rPr>
            </w:pPr>
            <w:r>
              <w:rPr>
                <w:rFonts w:hint="eastAsia" w:ascii="Times New Roman" w:hAnsi="Times New Roman" w:eastAsia="宋体" w:cs="Times New Roman"/>
                <w:color w:val="auto"/>
                <w:kern w:val="2"/>
                <w:sz w:val="21"/>
                <w:szCs w:val="22"/>
                <w:lang w:val="en-US" w:eastAsia="zh-CN" w:bidi="ar-SA"/>
              </w:rPr>
              <w:t>本次内审开具一份不符合项报告，进行了不合格原因分析，制定并实施了纠正措施，进行了效果验证。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adjustRightInd w:val="0"/>
              <w:snapToGrid w:val="0"/>
              <w:spacing w:line="360" w:lineRule="auto"/>
              <w:ind w:right="105" w:rightChars="50" w:firstLine="396" w:firstLineChars="200"/>
              <w:textAlignment w:val="baseline"/>
              <w:rPr>
                <w:rFonts w:hint="eastAsia" w:ascii="宋体" w:hAnsi="宋体" w:eastAsia="宋体" w:cs="Arial"/>
                <w:color w:val="auto"/>
                <w:spacing w:val="-6"/>
                <w:sz w:val="21"/>
                <w:szCs w:val="21"/>
                <w:highlight w:val="none"/>
                <w:lang w:val="en-US" w:eastAsia="zh-CN"/>
              </w:rPr>
            </w:pPr>
            <w:r>
              <w:rPr>
                <w:rFonts w:hint="eastAsia" w:ascii="宋体" w:hAnsi="宋体" w:eastAsia="宋体" w:cs="Arial"/>
                <w:color w:val="auto"/>
                <w:spacing w:val="-6"/>
                <w:sz w:val="21"/>
                <w:szCs w:val="21"/>
                <w:highlight w:val="none"/>
                <w:lang w:val="en-US" w:eastAsia="zh-CN"/>
              </w:rPr>
              <w:t>2021年3月10日在会议室</w:t>
            </w:r>
            <w:r>
              <w:rPr>
                <w:rFonts w:hint="eastAsia" w:ascii="宋体" w:hAnsi="宋体" w:cs="Arial"/>
                <w:color w:val="auto"/>
                <w:spacing w:val="-6"/>
                <w:sz w:val="21"/>
                <w:szCs w:val="21"/>
                <w:highlight w:val="none"/>
                <w:lang w:val="en-US" w:eastAsia="zh-CN"/>
              </w:rPr>
              <w:t>总经理聂建春</w:t>
            </w:r>
            <w:r>
              <w:rPr>
                <w:rFonts w:hint="eastAsia" w:ascii="宋体" w:hAnsi="宋体" w:eastAsia="宋体" w:cs="Arial"/>
                <w:color w:val="auto"/>
                <w:spacing w:val="-6"/>
                <w:sz w:val="21"/>
                <w:szCs w:val="21"/>
                <w:highlight w:val="none"/>
                <w:lang w:val="en-US" w:eastAsia="zh-CN"/>
              </w:rPr>
              <w:t>主持了管理评审。保留有管理评审计划、管理评审会议通知、评审记录、评审报告和改进措施计划等；</w:t>
            </w:r>
          </w:p>
          <w:p>
            <w:pPr>
              <w:adjustRightInd w:val="0"/>
              <w:snapToGrid w:val="0"/>
              <w:spacing w:line="360" w:lineRule="auto"/>
              <w:ind w:right="105" w:rightChars="50" w:firstLine="372"/>
              <w:textAlignment w:val="baseline"/>
              <w:rPr>
                <w:rFonts w:hint="eastAsia" w:ascii="宋体" w:hAnsi="宋体" w:cs="Arial"/>
                <w:color w:val="auto"/>
                <w:spacing w:val="-6"/>
                <w:sz w:val="21"/>
                <w:szCs w:val="21"/>
                <w:highlight w:val="none"/>
                <w:lang w:val="en-US" w:eastAsia="zh-CN"/>
              </w:rPr>
            </w:pPr>
            <w:r>
              <w:rPr>
                <w:rFonts w:hint="eastAsia" w:ascii="宋体" w:hAnsi="宋体" w:cs="Arial"/>
                <w:color w:val="auto"/>
                <w:spacing w:val="-6"/>
                <w:sz w:val="21"/>
                <w:szCs w:val="21"/>
                <w:highlight w:val="none"/>
                <w:lang w:val="en-US" w:eastAsia="zh-CN"/>
              </w:rPr>
              <w:t>管理评审输入满足要求；</w:t>
            </w:r>
          </w:p>
          <w:p>
            <w:pPr>
              <w:adjustRightInd w:val="0"/>
              <w:snapToGrid w:val="0"/>
              <w:spacing w:line="360" w:lineRule="auto"/>
              <w:ind w:right="105" w:rightChars="50" w:firstLine="372"/>
              <w:textAlignment w:val="baseline"/>
              <w:rPr>
                <w:rFonts w:hint="eastAsia" w:ascii="宋体" w:hAnsi="宋体" w:cs="Arial"/>
                <w:spacing w:val="-6"/>
                <w:sz w:val="21"/>
                <w:szCs w:val="21"/>
                <w:highlight w:val="none"/>
                <w:lang w:val="en-US" w:eastAsia="zh-CN"/>
              </w:rPr>
            </w:pPr>
            <w:r>
              <w:rPr>
                <w:rFonts w:hint="eastAsia" w:ascii="宋体" w:hAnsi="宋体" w:cs="Arial"/>
                <w:spacing w:val="-6"/>
                <w:sz w:val="21"/>
                <w:szCs w:val="21"/>
                <w:highlight w:val="none"/>
                <w:lang w:val="en-US" w:eastAsia="zh-CN"/>
              </w:rPr>
              <w:t>管理评审结论：经评审认为本公司的质量管理体系的建立和运行是充分的、适宜的、有效的。</w:t>
            </w:r>
          </w:p>
          <w:p>
            <w:pPr>
              <w:adjustRightInd w:val="0"/>
              <w:snapToGrid w:val="0"/>
              <w:spacing w:line="360" w:lineRule="auto"/>
              <w:ind w:right="105" w:rightChars="50" w:firstLine="372"/>
              <w:textAlignment w:val="baseline"/>
              <w:rPr>
                <w:rFonts w:hint="default" w:ascii="宋体" w:hAnsi="宋体" w:cs="Arial"/>
                <w:spacing w:val="-6"/>
                <w:sz w:val="21"/>
                <w:szCs w:val="21"/>
                <w:highlight w:val="none"/>
                <w:lang w:val="en-US" w:eastAsia="zh-CN"/>
              </w:rPr>
            </w:pPr>
            <w:r>
              <w:rPr>
                <w:rFonts w:hint="eastAsia" w:ascii="宋体" w:hAnsi="宋体" w:cs="Arial"/>
                <w:spacing w:val="-6"/>
                <w:sz w:val="21"/>
                <w:szCs w:val="21"/>
                <w:highlight w:val="none"/>
                <w:lang w:val="en-US" w:eastAsia="zh-CN"/>
              </w:rPr>
              <w:t>改进措施建议：有2项，主要是</w:t>
            </w:r>
            <w:r>
              <w:rPr>
                <w:rFonts w:hint="default" w:ascii="宋体" w:hAnsi="宋体" w:cs="Arial"/>
                <w:spacing w:val="-6"/>
                <w:sz w:val="21"/>
                <w:szCs w:val="21"/>
                <w:highlight w:val="none"/>
                <w:lang w:val="en-US" w:eastAsia="zh-CN"/>
              </w:rPr>
              <w:t>对标准、《管理手册》、《程序文件》培训，使与管理体系有关的人员了解和掌握标准和本公司管理体系文件的内容，特别是应该提高内审员的水平和技巧；</w:t>
            </w:r>
          </w:p>
          <w:p>
            <w:pPr>
              <w:adjustRightInd w:val="0"/>
              <w:snapToGrid w:val="0"/>
              <w:spacing w:line="360" w:lineRule="auto"/>
              <w:ind w:right="105" w:rightChars="50" w:firstLine="372"/>
              <w:textAlignment w:val="baseline"/>
              <w:rPr>
                <w:b/>
                <w:color w:val="000000" w:themeColor="text1"/>
                <w:sz w:val="20"/>
                <w:szCs w:val="20"/>
              </w:rPr>
            </w:pPr>
            <w:r>
              <w:rPr>
                <w:rFonts w:hint="eastAsia" w:ascii="宋体" w:hAnsi="宋体" w:cs="Arial"/>
                <w:spacing w:val="-6"/>
                <w:sz w:val="21"/>
                <w:szCs w:val="21"/>
                <w:highlight w:val="none"/>
                <w:lang w:val="en-US" w:eastAsia="zh-CN"/>
              </w:rPr>
              <w:t>制定有“管理评审改进措施计划”。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rPr>
            </w:pPr>
            <w:r>
              <w:rPr>
                <w:rFonts w:hint="eastAsia"/>
              </w:rPr>
              <w:t>5.  EMS是否按规定对主要污染物（污水、废气、噪声、废渣等）及排放实施了例行的监视或测量，结果是否满足相关要求？</w:t>
            </w:r>
          </w:p>
          <w:p>
            <w:pPr>
              <w:pStyle w:val="2"/>
              <w:spacing w:line="360" w:lineRule="auto"/>
            </w:pPr>
            <w:r>
              <w:rPr>
                <w:rFonts w:hint="eastAsia"/>
                <w:b w:val="0"/>
                <w:bCs/>
                <w:color w:val="000000" w:themeColor="text1"/>
                <w:sz w:val="20"/>
                <w:szCs w:val="20"/>
              </w:rPr>
              <w:t>三废监测合格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360" w:lineRule="auto"/>
              <w:ind w:firstLine="400" w:firstLineChars="200"/>
              <w:rPr>
                <w:b/>
                <w:color w:val="000000" w:themeColor="text1"/>
                <w:sz w:val="20"/>
                <w:szCs w:val="20"/>
              </w:rPr>
            </w:pPr>
            <w:r>
              <w:rPr>
                <w:rFonts w:hint="eastAsia"/>
                <w:b w:val="0"/>
                <w:bCs/>
                <w:color w:val="000000" w:themeColor="text1"/>
                <w:sz w:val="20"/>
                <w:szCs w:val="20"/>
              </w:rPr>
              <w:t>见附件：环评报告、环评批复和年度环境检测</w:t>
            </w:r>
            <w:r>
              <w:rPr>
                <w:rFonts w:hint="eastAsia"/>
                <w:b w:val="0"/>
                <w:bCs/>
                <w:color w:val="000000" w:themeColor="text1"/>
                <w:sz w:val="20"/>
                <w:szCs w:val="20"/>
                <w:lang w:val="en-US" w:eastAsia="zh-CN"/>
              </w:rPr>
              <w:t>报告</w:t>
            </w:r>
            <w:r>
              <w:rPr>
                <w:rFonts w:hint="eastAsia"/>
                <w:b w:val="0"/>
                <w:bCs/>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pStyle w:val="2"/>
              <w:spacing w:line="360" w:lineRule="auto"/>
              <w:jc w:val="both"/>
              <w:rPr>
                <w:rFonts w:hint="eastAsia"/>
                <w:lang w:val="en-US" w:eastAsia="zh-CN"/>
              </w:rPr>
            </w:pPr>
            <w:r>
              <w:rPr>
                <w:rFonts w:hint="eastAsia"/>
                <w:lang w:val="en-US" w:eastAsia="zh-CN"/>
              </w:rPr>
              <w:t>查见“工作场所职业病危害因素检测报告书”，江西赣昌评价检测技术咨询有限公司出具，2019.1.14，在三年有效期内；对投料、挤出、粉碎磨粉、打包等岗位的噪声、粉尘因素进行了检测；</w:t>
            </w:r>
          </w:p>
          <w:p>
            <w:pPr>
              <w:pStyle w:val="2"/>
              <w:spacing w:line="360" w:lineRule="auto"/>
              <w:jc w:val="both"/>
              <w:rPr>
                <w:rFonts w:hint="eastAsia"/>
                <w:lang w:val="en-US" w:eastAsia="zh-CN"/>
              </w:rPr>
            </w:pPr>
            <w:r>
              <w:rPr>
                <w:rFonts w:hint="eastAsia"/>
                <w:lang w:val="en-US" w:eastAsia="zh-CN"/>
              </w:rPr>
              <w:t>检测依据：工作场所有害因素职业接触限值 第1部分：化学有害因素-GB2.1-2019；</w:t>
            </w:r>
          </w:p>
          <w:p>
            <w:pPr>
              <w:pStyle w:val="2"/>
              <w:spacing w:line="360" w:lineRule="auto"/>
              <w:jc w:val="both"/>
              <w:rPr>
                <w:rFonts w:hint="eastAsia"/>
                <w:lang w:val="en-US" w:eastAsia="zh-CN"/>
              </w:rPr>
            </w:pPr>
            <w:r>
              <w:rPr>
                <w:rFonts w:hint="eastAsia"/>
                <w:lang w:val="en-US" w:eastAsia="zh-CN"/>
              </w:rPr>
              <w:t xml:space="preserve">          工作场所有害因素职业接触限值 第2部分：物理有害因素-GB2.1-2007；</w:t>
            </w:r>
          </w:p>
          <w:p>
            <w:pPr>
              <w:pStyle w:val="2"/>
              <w:spacing w:line="360" w:lineRule="auto"/>
              <w:jc w:val="both"/>
              <w:rPr>
                <w:b/>
                <w:color w:val="000000" w:themeColor="text1"/>
                <w:sz w:val="20"/>
                <w:szCs w:val="20"/>
              </w:rPr>
            </w:pPr>
            <w:r>
              <w:rPr>
                <w:rFonts w:hint="eastAsia"/>
                <w:szCs w:val="22"/>
                <w:lang w:val="en-US" w:eastAsia="zh-CN"/>
              </w:rPr>
              <w:t>检测结论：除3#线和5#线投料位粉尘不符合、3#线和5#线操作工噪声不符合外，其他岗位均符合。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adjustRightInd w:val="0"/>
              <w:snapToGrid w:val="0"/>
              <w:spacing w:line="360" w:lineRule="auto"/>
              <w:ind w:right="105" w:rightChars="50" w:firstLine="372"/>
              <w:textAlignment w:val="baseline"/>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本周期未受到上级主管部门有关质量、环境、职业健康安全的行政处罚，未发生相关方的投诉。</w:t>
            </w:r>
          </w:p>
          <w:p>
            <w:pPr>
              <w:spacing w:line="360" w:lineRule="auto"/>
              <w:rPr>
                <w:b/>
                <w:color w:val="000000" w:themeColor="text1"/>
                <w:sz w:val="20"/>
                <w:szCs w:val="20"/>
              </w:rPr>
            </w:pPr>
            <w:r>
              <w:rPr>
                <w:rFonts w:hint="eastAsia" w:ascii="Times New Roman" w:hAnsi="Times New Roman" w:eastAsia="宋体" w:cs="Times New Roman"/>
                <w:kern w:val="2"/>
                <w:sz w:val="21"/>
                <w:szCs w:val="22"/>
                <w:lang w:val="en-US" w:eastAsia="zh-CN" w:bidi="ar-SA"/>
              </w:rPr>
              <w:t>行业主管部门和政府有关单位对公司进行检查时提出的小问题都能及时整改；目前没有相关行政主管部门的检查，在审核现场也未发现抽查、相关方投诉等情况。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eastAsia="宋体"/>
                <w:b/>
                <w:color w:val="000000" w:themeColor="text1"/>
                <w:sz w:val="20"/>
                <w:szCs w:val="20"/>
                <w:lang w:eastAsia="zh-CN"/>
              </w:rPr>
            </w:pPr>
            <w:r>
              <w:rPr>
                <w:rFonts w:hint="eastAsia"/>
                <w:b/>
                <w:color w:val="000000" w:themeColor="text1"/>
                <w:sz w:val="20"/>
                <w:szCs w:val="20"/>
              </w:rPr>
              <w:t>1 纠正/预防措施的实施及效果</w:t>
            </w:r>
            <w:r>
              <w:rPr>
                <w:rFonts w:hint="eastAsia"/>
                <w:b/>
                <w:color w:val="000000" w:themeColor="text1"/>
                <w:spacing w:val="-8"/>
                <w:sz w:val="20"/>
                <w:szCs w:val="20"/>
                <w:lang w:eastAsia="zh-CN"/>
              </w:rPr>
              <w:t>；</w:t>
            </w:r>
          </w:p>
          <w:p>
            <w:pPr>
              <w:spacing w:line="360" w:lineRule="auto"/>
              <w:ind w:firstLine="420" w:firstLineChars="200"/>
              <w:rPr>
                <w:b/>
                <w:color w:val="000000" w:themeColor="text1"/>
                <w:sz w:val="20"/>
                <w:szCs w:val="20"/>
              </w:rPr>
            </w:pPr>
            <w:r>
              <w:rPr>
                <w:rFonts w:hint="eastAsia" w:ascii="Times New Roman" w:hAnsi="Times New Roman" w:eastAsia="宋体" w:cs="Times New Roman"/>
                <w:kern w:val="2"/>
                <w:sz w:val="21"/>
                <w:szCs w:val="22"/>
                <w:lang w:val="en-US" w:eastAsia="zh-CN" w:bidi="ar-SA"/>
              </w:rPr>
              <w:t>对发现的不合格产品和服务进行了分析、制定了纠正措施，进行了整改，对整改效果进行了追踪验证，结论合格，对不合格品可以进行有效控制。对内审中发现的不合格已制定纠正措施。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hint="eastAsia"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360" w:lineRule="auto"/>
              <w:rPr>
                <w:b/>
                <w:color w:val="000000" w:themeColor="text1"/>
                <w:sz w:val="20"/>
                <w:szCs w:val="20"/>
              </w:rPr>
            </w:pPr>
            <w:r>
              <w:rPr>
                <w:rFonts w:hint="eastAsia"/>
                <w:b/>
                <w:color w:val="000000" w:themeColor="text1"/>
                <w:sz w:val="20"/>
                <w:szCs w:val="20"/>
              </w:rPr>
              <w:t>3. 一阶段提出问题的整改情况?</w:t>
            </w:r>
          </w:p>
          <w:p>
            <w:pPr>
              <w:spacing w:line="360" w:lineRule="auto"/>
              <w:ind w:firstLine="420" w:firstLineChars="200"/>
              <w:rPr>
                <w:rFonts w:hint="default" w:eastAsia="宋体"/>
                <w:b/>
                <w:color w:val="000000" w:themeColor="text1"/>
                <w:spacing w:val="-20"/>
                <w:sz w:val="20"/>
                <w:szCs w:val="20"/>
                <w:lang w:val="en-US" w:eastAsia="zh-CN"/>
              </w:rPr>
            </w:pPr>
            <w:r>
              <w:rPr>
                <w:rFonts w:hint="eastAsia" w:ascii="Times New Roman" w:hAnsi="Times New Roman" w:eastAsia="宋体" w:cs="Times New Roman"/>
                <w:kern w:val="2"/>
                <w:sz w:val="21"/>
                <w:szCs w:val="22"/>
                <w:lang w:val="en-US" w:eastAsia="zh-CN" w:bidi="ar-SA"/>
              </w:rPr>
              <w:t>一阶段提出的问题已整改到位。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rPr>
            </w:pPr>
            <w:r>
              <w:rPr>
                <w:rFonts w:hint="eastAsia"/>
              </w:rPr>
              <w:t>5. 上次不符合的整改情况（再认证填写）</w:t>
            </w:r>
          </w:p>
          <w:p>
            <w:pPr>
              <w:pStyle w:val="2"/>
            </w:pP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0</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0</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pStyle w:val="2"/>
        <w:rPr>
          <w:rFonts w:hint="eastAsia" w:ascii="宋体" w:hAnsi="宋体"/>
          <w:b/>
          <w:color w:val="000000" w:themeColor="text1"/>
          <w:szCs w:val="21"/>
        </w:rPr>
      </w:pPr>
    </w:p>
    <w:p>
      <w:pPr>
        <w:pStyle w:val="2"/>
        <w:rPr>
          <w:rFonts w:hint="eastAsia" w:ascii="宋体" w:hAnsi="宋体"/>
          <w:b/>
          <w:color w:val="000000" w:themeColor="text1"/>
          <w:szCs w:val="21"/>
        </w:rPr>
      </w:pPr>
    </w:p>
    <w:p>
      <w:pPr>
        <w:pStyle w:val="2"/>
        <w:rPr>
          <w:rFonts w:hint="eastAsia" w:ascii="宋体" w:hAnsi="宋体"/>
          <w:b/>
          <w:color w:val="000000" w:themeColor="text1"/>
          <w:szCs w:val="21"/>
        </w:rPr>
      </w:pPr>
    </w:p>
    <w:p>
      <w:pPr>
        <w:pStyle w:val="2"/>
        <w:rPr>
          <w:rFonts w:hint="eastAsia" w:ascii="宋体" w:hAnsi="宋体"/>
          <w:b/>
          <w:color w:val="000000" w:themeColor="text1"/>
          <w:szCs w:val="21"/>
        </w:rPr>
      </w:pP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rFonts w:hint="eastAsia"/>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pStyle w:val="2"/>
            </w:pPr>
          </w:p>
          <w:p>
            <w:pPr>
              <w:spacing w:line="240" w:lineRule="exact"/>
              <w:rPr>
                <w:b/>
                <w:color w:val="000000" w:themeColor="text1"/>
                <w:sz w:val="22"/>
                <w:szCs w:val="22"/>
              </w:rPr>
            </w:pPr>
            <w:r>
              <w:rPr>
                <w:rFonts w:hint="eastAsia"/>
                <w:b/>
                <w:color w:val="000000" w:themeColor="text1"/>
                <w:spacing w:val="-10"/>
                <w:szCs w:val="21"/>
              </w:rPr>
              <w:sym w:font="Wingdings 2" w:char="00A3"/>
            </w:r>
            <w:r>
              <w:rPr>
                <w:rFonts w:hint="eastAsia"/>
                <w:b/>
                <w:color w:val="000000" w:themeColor="text1"/>
                <w:sz w:val="22"/>
                <w:szCs w:val="22"/>
              </w:rPr>
              <w:t xml:space="preserve">QMS  </w:t>
            </w:r>
            <w:r>
              <w:rPr>
                <w:rFonts w:hint="eastAsia"/>
                <w:b/>
                <w:color w:val="000000" w:themeColor="text1"/>
                <w:spacing w:val="-10"/>
                <w:szCs w:val="21"/>
              </w:rPr>
              <w:sym w:font="Wingdings 2" w:char="00A3"/>
            </w:r>
            <w:r>
              <w:rPr>
                <w:rFonts w:hint="eastAsia"/>
                <w:b/>
                <w:color w:val="000000" w:themeColor="text1"/>
                <w:sz w:val="22"/>
                <w:szCs w:val="22"/>
              </w:rPr>
              <w:t xml:space="preserve">EMS  </w:t>
            </w:r>
            <w:r>
              <w:rPr>
                <w:rFonts w:hint="eastAsia"/>
                <w:b/>
                <w:color w:val="000000" w:themeColor="text1"/>
                <w:spacing w:val="-10"/>
                <w:szCs w:val="21"/>
              </w:rPr>
              <w:sym w:font="Wingdings 2" w:char="00A3"/>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pPr>
          </w:p>
          <w:p>
            <w:pPr>
              <w:pStyle w:val="2"/>
              <w:rPr>
                <w:b/>
                <w:color w:val="000000" w:themeColor="text1"/>
              </w:rPr>
            </w:pPr>
          </w:p>
          <w:p>
            <w:pPr>
              <w:pStyle w:val="2"/>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eastAsia="zh-CN"/>
        </w:rPr>
        <w:drawing>
          <wp:anchor distT="0" distB="0" distL="114300" distR="114300" simplePos="0" relativeHeight="251660288" behindDoc="0" locked="0" layoutInCell="1" allowOverlap="1">
            <wp:simplePos x="0" y="0"/>
            <wp:positionH relativeFrom="column">
              <wp:posOffset>1540510</wp:posOffset>
            </wp:positionH>
            <wp:positionV relativeFrom="paragraph">
              <wp:posOffset>309245</wp:posOffset>
            </wp:positionV>
            <wp:extent cx="779780" cy="469900"/>
            <wp:effectExtent l="0" t="0" r="1270" b="6350"/>
            <wp:wrapNone/>
            <wp:docPr id="3" name="图片 3"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褚敏杰"/>
                    <pic:cNvPicPr>
                      <a:picLocks noChangeAspect="1"/>
                    </pic:cNvPicPr>
                  </pic:nvPicPr>
                  <pic:blipFill>
                    <a:blip r:embed="rId6">
                      <a:clrChange>
                        <a:clrFrom>
                          <a:srgbClr val="FFFFFF">
                            <a:alpha val="100000"/>
                          </a:srgbClr>
                        </a:clrFrom>
                        <a:clrTo>
                          <a:srgbClr val="FFFFFF">
                            <a:alpha val="100000"/>
                            <a:alpha val="0"/>
                          </a:srgbClr>
                        </a:clrTo>
                      </a:clrChange>
                    </a:blip>
                    <a:stretch>
                      <a:fillRect/>
                    </a:stretch>
                  </pic:blipFill>
                  <pic:spPr>
                    <a:xfrm>
                      <a:off x="0" y="0"/>
                      <a:ext cx="779780" cy="46990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审核组组长（签名）：</w:t>
      </w:r>
    </w:p>
    <w:p>
      <w:pPr>
        <w:snapToGrid w:val="0"/>
        <w:spacing w:before="156" w:beforeLines="50" w:line="360" w:lineRule="auto"/>
        <w:ind w:firstLine="653" w:firstLineChars="250"/>
        <w:rPr>
          <w:b/>
          <w:color w:val="000000" w:themeColor="text1"/>
        </w:rPr>
      </w:pPr>
      <w:r>
        <w:rPr>
          <w:rFonts w:hint="eastAsia" w:eastAsia="宋体"/>
          <w:b/>
          <w:color w:val="000000" w:themeColor="text1"/>
          <w:sz w:val="26"/>
          <w:szCs w:val="26"/>
          <w:lang w:eastAsia="zh-CN"/>
        </w:rPr>
        <w:drawing>
          <wp:anchor distT="0" distB="0" distL="114300" distR="114300" simplePos="0" relativeHeight="251661312" behindDoc="0" locked="0" layoutInCell="1" allowOverlap="1">
            <wp:simplePos x="0" y="0"/>
            <wp:positionH relativeFrom="column">
              <wp:posOffset>1500505</wp:posOffset>
            </wp:positionH>
            <wp:positionV relativeFrom="paragraph">
              <wp:posOffset>194310</wp:posOffset>
            </wp:positionV>
            <wp:extent cx="735330" cy="276225"/>
            <wp:effectExtent l="0" t="0" r="7620" b="9525"/>
            <wp:wrapNone/>
            <wp:docPr id="5" name="图片 5" descr="王景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王景玲"/>
                    <pic:cNvPicPr>
                      <a:picLocks noChangeAspect="1"/>
                    </pic:cNvPicPr>
                  </pic:nvPicPr>
                  <pic:blipFill>
                    <a:blip r:embed="rId7">
                      <a:clrChange>
                        <a:clrFrom>
                          <a:srgbClr val="A09C99">
                            <a:alpha val="100000"/>
                          </a:srgbClr>
                        </a:clrFrom>
                        <a:clrTo>
                          <a:srgbClr val="A09C99">
                            <a:alpha val="100000"/>
                            <a:alpha val="0"/>
                          </a:srgbClr>
                        </a:clrTo>
                      </a:clrChange>
                      <a:lum bright="36000"/>
                    </a:blip>
                    <a:stretch>
                      <a:fillRect/>
                    </a:stretch>
                  </pic:blipFill>
                  <pic:spPr>
                    <a:xfrm>
                      <a:off x="0" y="0"/>
                      <a:ext cx="735330" cy="276225"/>
                    </a:xfrm>
                    <a:prstGeom prst="rect">
                      <a:avLst/>
                    </a:prstGeom>
                  </pic:spPr>
                </pic:pic>
              </a:graphicData>
            </a:graphic>
          </wp:anchor>
        </w:drawing>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审核组组员（签名）：</w:t>
      </w:r>
    </w:p>
    <w:p>
      <w:pPr>
        <w:snapToGrid w:val="0"/>
        <w:spacing w:line="360" w:lineRule="auto"/>
        <w:ind w:firstLine="4554" w:firstLineChars="216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5</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5</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eastAsia"/>
          <w:b/>
          <w:color w:val="000000" w:themeColor="text1"/>
          <w:szCs w:val="21"/>
        </w:rPr>
      </w:pPr>
      <w:r>
        <w:rPr>
          <w:rFonts w:hint="eastAsia"/>
          <w:b/>
          <w:color w:val="000000" w:themeColor="text1"/>
          <w:szCs w:val="21"/>
        </w:rPr>
        <w:t>组长签字:                               日期:       年月日</w:t>
      </w:r>
    </w:p>
    <w:p>
      <w:pPr>
        <w:pStyle w:val="2"/>
      </w:pP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FB12C73"/>
    <w:rsid w:val="673D4B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uiPriority w:val="99"/>
    <w:pPr>
      <w:spacing w:after="120" w:afterLines="0" w:afterAutospacing="0"/>
      <w:ind w:firstLine="720" w:firstLineChars="200"/>
    </w:pPr>
    <w:rPr>
      <w:rFonts w:ascii="Times New Roman" w:hAnsi="Times New Roman" w:eastAsia="宋体" w:cs="Times New Roman"/>
      <w:sz w:val="21"/>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TotalTime>
  <ScaleCrop>false</ScaleCrop>
  <LinksUpToDate>false</LinksUpToDate>
  <CharactersWithSpaces>5057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lenovo1018</cp:lastModifiedBy>
  <cp:lastPrinted>2019-05-13T03:19:00Z</cp:lastPrinted>
  <dcterms:modified xsi:type="dcterms:W3CDTF">2021-05-05T01:55:53Z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