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-567690</wp:posOffset>
            </wp:positionH>
            <wp:positionV relativeFrom="paragraph">
              <wp:posOffset>-1032510</wp:posOffset>
            </wp:positionV>
            <wp:extent cx="7691755" cy="10780395"/>
            <wp:effectExtent l="0" t="0" r="4445" b="1905"/>
            <wp:wrapNone/>
            <wp:docPr id="1" name="图片 1" descr="1326543197143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65431971430012"/>
                    <pic:cNvPicPr>
                      <a:picLocks noChangeAspect="1"/>
                    </pic:cNvPicPr>
                  </pic:nvPicPr>
                  <pic:blipFill>
                    <a:blip r:embed="rId6"/>
                    <a:stretch>
                      <a:fillRect/>
                    </a:stretch>
                  </pic:blipFill>
                  <pic:spPr>
                    <a:xfrm>
                      <a:off x="0" y="0"/>
                      <a:ext cx="7691755" cy="1078039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江西添瑞高分子新材料有限公司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bookmarkEnd w:id="1"/>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肖志良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ISC-JSZJ-281</w:t>
            </w:r>
          </w:p>
          <w:p>
            <w:pPr>
              <w:snapToGrid w:val="0"/>
              <w:spacing w:line="320" w:lineRule="exact"/>
              <w:ind w:left="1309"/>
              <w:rPr>
                <w:sz w:val="22"/>
                <w:szCs w:val="22"/>
                <w:highlight w:val="none"/>
              </w:rPr>
            </w:pPr>
            <w:r>
              <w:rPr>
                <w:sz w:val="22"/>
                <w:szCs w:val="22"/>
                <w:highlight w:val="none"/>
              </w:rPr>
              <w:t>ISC-JSZJ-281</w:t>
            </w:r>
          </w:p>
          <w:p>
            <w:pPr>
              <w:snapToGrid w:val="0"/>
              <w:spacing w:line="320" w:lineRule="exact"/>
              <w:ind w:left="1309"/>
              <w:rPr>
                <w:sz w:val="22"/>
                <w:szCs w:val="22"/>
                <w:highlight w:val="none"/>
              </w:rPr>
            </w:pPr>
            <w:r>
              <w:rPr>
                <w:sz w:val="22"/>
                <w:szCs w:val="22"/>
                <w:highlight w:val="none"/>
              </w:rPr>
              <w:t>江西广源新材料有限公司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14" w:firstLineChars="441"/>
      <w:jc w:val="left"/>
      <w:rPr>
        <w:szCs w:val="18"/>
      </w:rPr>
    </w:pP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B775C2"/>
    <w:rsid w:val="46036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2021-05-14T02:30:30Z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