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0314-2021-QE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江西添瑞高分子新材料有限公司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肖志良</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tc>
        <w:tc>
          <w:tcPr>
            <w:tcW w:w="2179" w:type="dxa"/>
            <w:gridSpan w:val="2"/>
            <w:vAlign w:val="center"/>
          </w:tcPr>
          <w:p>
            <w:pPr>
              <w:spacing w:line="240" w:lineRule="exact"/>
              <w:jc w:val="center"/>
              <w:rPr>
                <w:b/>
                <w:color w:val="000000"/>
                <w:sz w:val="20"/>
                <w:szCs w:val="20"/>
              </w:rPr>
            </w:pPr>
            <w:r>
              <w:rPr>
                <w:b/>
                <w:color w:val="000000"/>
                <w:sz w:val="20"/>
                <w:szCs w:val="20"/>
              </w:rPr>
              <w:t>Q:12.01.06</w:t>
            </w:r>
          </w:p>
          <w:p>
            <w:pPr>
              <w:spacing w:line="240" w:lineRule="exact"/>
              <w:jc w:val="center"/>
              <w:rPr>
                <w:b/>
                <w:color w:val="000000"/>
                <w:sz w:val="20"/>
                <w:szCs w:val="20"/>
              </w:rPr>
            </w:pPr>
            <w:r>
              <w:rPr>
                <w:b/>
                <w:color w:val="000000"/>
                <w:sz w:val="20"/>
                <w:szCs w:val="20"/>
              </w:rPr>
              <w:t>E:12.01.06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hint="eastAsia" w:ascii="宋体" w:hAnsi="宋体"/>
          <w:b/>
          <w:color w:val="000000"/>
          <w:sz w:val="20"/>
          <w:szCs w:val="20"/>
          <w:lang w:eastAsia="zh-CN"/>
        </w:rPr>
        <w:t>，</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江西添瑞高分子新材料有限公司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江西省宜春市樟树市洲上乡工业园88号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default" w:ascii="宋体" w:eastAsia="宋体"/>
                <w:b/>
                <w:color w:val="FF0000"/>
                <w:sz w:val="20"/>
                <w:szCs w:val="20"/>
                <w:lang w:val="en-US" w:eastAsia="zh-CN"/>
              </w:rPr>
            </w:pPr>
            <w:bookmarkStart w:id="12" w:name="经营地址"/>
            <w:bookmarkEnd w:id="12"/>
            <w:r>
              <w:rPr>
                <w:rFonts w:hint="eastAsia" w:ascii="宋体"/>
                <w:b/>
                <w:color w:val="FF0000"/>
                <w:sz w:val="20"/>
                <w:szCs w:val="20"/>
                <w:lang w:val="en-US" w:eastAsia="zh-CN"/>
              </w:rPr>
              <w:t>江西省宜春市樟树市张家山工业园区园区中路</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FF0000"/>
                <w:sz w:val="20"/>
                <w:szCs w:val="20"/>
              </w:rPr>
            </w:pPr>
            <w:r>
              <w:rPr>
                <w:rFonts w:hint="eastAsia" w:ascii="宋体"/>
                <w:b/>
                <w:color w:val="FF0000"/>
                <w:sz w:val="20"/>
                <w:szCs w:val="20"/>
                <w:lang w:val="en-US" w:eastAsia="zh-CN"/>
              </w:rPr>
              <w:t>江西省宜春市樟树市张家山工业园区园区中路</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331200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胡藏粮</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17821909159</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8" w:name="法人"/>
            <w:r>
              <w:rPr>
                <w:rFonts w:ascii="宋体"/>
                <w:b/>
                <w:color w:val="000000"/>
                <w:sz w:val="20"/>
                <w:szCs w:val="20"/>
              </w:rPr>
              <w:t>黄瑞林</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19" w:name="管理者代表"/>
            <w:r>
              <w:rPr>
                <w:rFonts w:ascii="宋体"/>
                <w:b/>
                <w:color w:val="000000"/>
                <w:sz w:val="20"/>
                <w:szCs w:val="20"/>
              </w:rPr>
              <w:t>陈爱英</w:t>
            </w:r>
            <w:bookmarkEnd w:id="19"/>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0" w:name="联系人邮箱Add1"/>
            <w:r>
              <w:rPr>
                <w:rFonts w:ascii="宋体"/>
                <w:b/>
                <w:color w:val="000000"/>
                <w:sz w:val="20"/>
                <w:szCs w:val="20"/>
              </w:rPr>
              <w:t>1131054469@qq.com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Q：高分子新材料（黑色母粒）的生产</w:t>
            </w:r>
          </w:p>
          <w:p>
            <w:pPr>
              <w:spacing w:line="400" w:lineRule="exact"/>
              <w:rPr>
                <w:rFonts w:ascii="宋体" w:hAnsi="宋体"/>
                <w:b/>
                <w:color w:val="000000"/>
                <w:sz w:val="20"/>
                <w:szCs w:val="20"/>
              </w:rPr>
            </w:pPr>
            <w:r>
              <w:rPr>
                <w:rFonts w:ascii="宋体" w:hAnsi="宋体"/>
                <w:b/>
                <w:color w:val="000000"/>
                <w:sz w:val="20"/>
                <w:szCs w:val="20"/>
              </w:rPr>
              <w:t>E：高分子新材料（黑色母粒）的生产所涉及场所的相关环境管理活动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Q：12.01.06</w:t>
            </w:r>
          </w:p>
          <w:p>
            <w:pPr>
              <w:spacing w:line="280" w:lineRule="exact"/>
              <w:rPr>
                <w:rFonts w:ascii="宋体"/>
                <w:b/>
                <w:color w:val="000000"/>
                <w:sz w:val="20"/>
                <w:szCs w:val="20"/>
              </w:rPr>
            </w:pPr>
            <w:r>
              <w:rPr>
                <w:rFonts w:ascii="宋体"/>
                <w:b/>
                <w:color w:val="000000"/>
                <w:sz w:val="20"/>
                <w:szCs w:val="20"/>
              </w:rPr>
              <w:t>E：12.01.06</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pPr>
            <w:r>
              <w:rPr>
                <w:rFonts w:hint="eastAsia"/>
              </w:rPr>
              <w:t>总部以外分公司</w:t>
            </w:r>
            <w:r>
              <w:t>(</w:t>
            </w:r>
            <w:r>
              <w:rPr>
                <w:rFonts w:hint="eastAsia"/>
              </w:rPr>
              <w:t>分场所</w:t>
            </w:r>
            <w:r>
              <w:t>)</w:t>
            </w:r>
            <w:r>
              <w:rPr>
                <w:rFonts w:hint="eastAsia"/>
              </w:rPr>
              <w:t>名称、地址（可附多场所清单）</w:t>
            </w:r>
          </w:p>
          <w:p>
            <w:pPr>
              <w:spacing w:line="280" w:lineRule="exact"/>
            </w:pPr>
          </w:p>
          <w:p>
            <w:pPr>
              <w:spacing w:line="280" w:lineRule="exact"/>
            </w:pPr>
            <w:r>
              <w:rPr>
                <w:rFonts w:hint="eastAsia"/>
              </w:rPr>
              <w:t>所有项目部</w:t>
            </w:r>
            <w:r>
              <w:t>(</w:t>
            </w:r>
            <w:r>
              <w:rPr>
                <w:rFonts w:hint="eastAsia"/>
              </w:rPr>
              <w:t>临时场所</w:t>
            </w:r>
            <w:r>
              <w:t>)</w:t>
            </w:r>
            <w:r>
              <w:rPr>
                <w:rFonts w:hint="eastAsia"/>
              </w:rPr>
              <w:t>名称、地址</w:t>
            </w:r>
            <w:r>
              <w:t>(</w:t>
            </w:r>
            <w:r>
              <w:rPr>
                <w:rFonts w:hint="eastAsia"/>
              </w:rPr>
              <w:t>可附项目清单</w:t>
            </w:r>
            <w:r>
              <w:t>)</w:t>
            </w:r>
          </w:p>
          <w:p>
            <w:pPr>
              <w:spacing w:line="280" w:lineRule="exact"/>
            </w:pPr>
          </w:p>
          <w:p>
            <w:pPr>
              <w:pStyle w:val="2"/>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hint="eastAsia" w:ascii="宋体" w:hAnsi="宋体"/>
          <w:b/>
          <w:color w:val="000000"/>
          <w:szCs w:val="21"/>
          <w:lang w:eastAsia="zh-CN"/>
        </w:rPr>
        <w:t>，</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w:t>
      </w:r>
      <w:r>
        <w:rPr>
          <w:rFonts w:hint="eastAsia" w:ascii="宋体" w:hAnsi="宋体"/>
          <w:b/>
          <w:color w:val="000000"/>
          <w:sz w:val="20"/>
          <w:szCs w:val="20"/>
        </w:rPr>
        <w:t>本次评审的文件只有</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其他信息都是从电话或传真资料中了解的</w:t>
      </w:r>
      <w:r>
        <w:rPr>
          <w:rFonts w:hint="eastAsia" w:ascii="宋体" w:hAnsi="宋体"/>
          <w:b/>
          <w:color w:val="000000"/>
          <w:sz w:val="20"/>
          <w:szCs w:val="20"/>
          <w:lang w:eastAsia="zh-CN"/>
        </w:rPr>
        <w:t>；</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管理层、综合管理部、生产部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产品：高分子新材料（黑色母粒）的生产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综合管理部、生产部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rPr>
            </w:pPr>
            <w:r>
              <w:rPr>
                <w:rFonts w:hint="eastAsia"/>
              </w:rPr>
              <w:t>客户的场所：</w:t>
            </w:r>
          </w:p>
          <w:p>
            <w:pPr>
              <w:tabs>
                <w:tab w:val="left" w:pos="33"/>
              </w:tabs>
              <w:ind w:firstLine="33"/>
              <w:rPr>
                <w:rFonts w:hint="eastAsia"/>
              </w:rPr>
            </w:pPr>
            <w:r>
              <w:rPr>
                <w:rFonts w:hint="eastAsia"/>
              </w:rPr>
              <w:t>注册地址</w:t>
            </w:r>
            <w:r>
              <w:rPr>
                <w:rFonts w:hint="eastAsia"/>
                <w:lang w:eastAsia="zh-CN"/>
              </w:rPr>
              <w:t>：</w:t>
            </w:r>
            <w:r>
              <w:rPr>
                <w:rFonts w:hint="eastAsia"/>
              </w:rPr>
              <w:t>江西省宜春市樟树市洲上乡工业园88号</w:t>
            </w:r>
          </w:p>
          <w:p>
            <w:pPr>
              <w:tabs>
                <w:tab w:val="left" w:pos="33"/>
              </w:tabs>
              <w:ind w:firstLine="33"/>
            </w:pPr>
            <w:r>
              <w:rPr>
                <w:rFonts w:hint="eastAsia"/>
                <w:color w:val="FF0000"/>
                <w:lang w:val="en-US" w:eastAsia="zh-CN"/>
              </w:rPr>
              <w:t>生产/</w:t>
            </w:r>
            <w:r>
              <w:rPr>
                <w:rFonts w:hint="eastAsia"/>
                <w:color w:val="FF0000"/>
              </w:rPr>
              <w:t>经营地址</w:t>
            </w:r>
            <w:r>
              <w:rPr>
                <w:rFonts w:hint="eastAsia"/>
                <w:color w:val="FF0000"/>
                <w:lang w:eastAsia="zh-CN"/>
              </w:rPr>
              <w:t>：</w:t>
            </w:r>
            <w:r>
              <w:rPr>
                <w:rFonts w:hint="eastAsia"/>
                <w:color w:val="FF0000"/>
              </w:rPr>
              <w:t>江西省宜春市樟树市张家山工业园区</w:t>
            </w:r>
            <w:r>
              <w:rPr>
                <w:rFonts w:hint="eastAsia"/>
                <w:color w:val="FF0000"/>
                <w:lang w:val="en-US" w:eastAsia="zh-CN"/>
              </w:rPr>
              <w:t xml:space="preserve"> </w:t>
            </w:r>
            <w:r>
              <w:rPr>
                <w:rFonts w:hint="eastAsia"/>
                <w:color w:val="FF0000"/>
              </w:rPr>
              <w:t>园区中路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pPr>
            <w:r>
              <w:rPr>
                <w:rFonts w:hint="eastAsia"/>
              </w:rPr>
              <w:t>不在同一地址的部门</w:t>
            </w:r>
            <w:r>
              <w:t>(</w:t>
            </w:r>
            <w:r>
              <w:rPr>
                <w:rFonts w:hint="eastAsia"/>
              </w:rPr>
              <w:t>车间、仓库、销售部</w:t>
            </w:r>
            <w:r>
              <w:t>)</w:t>
            </w:r>
            <w:r>
              <w:rPr>
                <w:rFonts w:hint="eastAsia"/>
              </w:rPr>
              <w:t>有几个</w:t>
            </w:r>
            <w:r>
              <w:rPr>
                <w:rFonts w:hint="eastAsia"/>
                <w:lang w:eastAsia="zh-CN"/>
              </w:rPr>
              <w:t>；</w:t>
            </w:r>
            <w:r>
              <w:t xml:space="preserve"> </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受审核方位于：江西省宜春市樟树市张家山工业园区园区中路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种产品，规格型号</w:t>
            </w:r>
            <w:r>
              <w:rPr>
                <w:rFonts w:hint="eastAsia" w:ascii="宋体" w:hAnsi="宋体"/>
                <w:color w:val="000000"/>
                <w:sz w:val="20"/>
                <w:szCs w:val="20"/>
                <w:lang w:val="en-US" w:eastAsia="zh-CN"/>
              </w:rPr>
              <w:t>3</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pacing w:val="-10"/>
                <w:sz w:val="20"/>
                <w:szCs w:val="20"/>
                <w:highlight w:val="none"/>
              </w:rPr>
              <w:t>产品技术标准号：</w:t>
            </w:r>
          </w:p>
          <w:p>
            <w:pPr>
              <w:rPr>
                <w:rFonts w:hint="eastAsia" w:ascii="宋体" w:hAnsi="宋体"/>
                <w:color w:val="000000"/>
                <w:spacing w:val="-10"/>
                <w:sz w:val="20"/>
                <w:szCs w:val="20"/>
                <w:highlight w:val="none"/>
                <w:lang w:val="en-US" w:eastAsia="zh-CN"/>
              </w:rPr>
            </w:pPr>
            <w:r>
              <w:rPr>
                <w:rFonts w:hint="eastAsia" w:ascii="宋体" w:hAnsi="宋体"/>
                <w:color w:val="000000"/>
                <w:spacing w:val="-10"/>
                <w:sz w:val="20"/>
                <w:szCs w:val="20"/>
                <w:highlight w:val="none"/>
                <w:lang w:val="en-US" w:eastAsia="zh-CN"/>
              </w:rPr>
              <w:t>QB/T 1648-1992聚乙烯着色母料</w:t>
            </w:r>
          </w:p>
          <w:p>
            <w:pPr>
              <w:rPr>
                <w:rFonts w:hint="eastAsia" w:ascii="宋体" w:hAnsi="宋体"/>
                <w:color w:val="000000"/>
                <w:spacing w:val="-10"/>
                <w:sz w:val="20"/>
                <w:szCs w:val="20"/>
                <w:highlight w:val="none"/>
                <w:lang w:val="en-US" w:eastAsia="zh-CN"/>
              </w:rPr>
            </w:pPr>
            <w:r>
              <w:rPr>
                <w:rFonts w:hint="eastAsia" w:ascii="宋体" w:hAnsi="宋体"/>
                <w:color w:val="000000"/>
                <w:spacing w:val="-10"/>
                <w:sz w:val="20"/>
                <w:szCs w:val="20"/>
                <w:highlight w:val="none"/>
                <w:lang w:val="en-US" w:eastAsia="zh-CN"/>
              </w:rPr>
              <w:t>QB/T 2893-2007聚丙烯纤维用色母料</w:t>
            </w:r>
          </w:p>
          <w:p>
            <w:pPr>
              <w:rPr>
                <w:rFonts w:hint="eastAsia" w:ascii="宋体" w:hAnsi="宋体"/>
                <w:color w:val="000000"/>
                <w:spacing w:val="-10"/>
                <w:sz w:val="20"/>
                <w:szCs w:val="20"/>
                <w:highlight w:val="none"/>
                <w:lang w:val="en-US" w:eastAsia="zh-CN"/>
              </w:rPr>
            </w:pPr>
            <w:r>
              <w:rPr>
                <w:rFonts w:hint="eastAsia" w:ascii="宋体" w:hAnsi="宋体"/>
                <w:color w:val="000000"/>
                <w:spacing w:val="-10"/>
                <w:sz w:val="20"/>
                <w:szCs w:val="20"/>
                <w:highlight w:val="none"/>
                <w:lang w:val="en-US" w:eastAsia="zh-CN"/>
              </w:rPr>
              <w:t xml:space="preserve">QB/T 2894-2007丙烯腈-丁二烯-苯乙烯（ABS）色母料                            </w:t>
            </w:r>
          </w:p>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rPr>
            </w:pPr>
            <w:r>
              <w:rPr>
                <w:rFonts w:hint="eastAsia"/>
              </w:rPr>
              <w:t>环境执行标准：</w:t>
            </w:r>
          </w:p>
          <w:p>
            <w:pPr>
              <w:rPr>
                <w:rFonts w:hint="eastAsia"/>
              </w:rPr>
            </w:pPr>
            <w:r>
              <w:rPr>
                <w:rFonts w:hint="eastAsia"/>
              </w:rPr>
              <w:t>《污水综合排放标准》(GB8978-1996)</w:t>
            </w:r>
          </w:p>
          <w:p>
            <w:pPr>
              <w:rPr>
                <w:rFonts w:hint="eastAsia"/>
              </w:rPr>
            </w:pPr>
            <w:r>
              <w:rPr>
                <w:rFonts w:hint="eastAsia"/>
              </w:rPr>
              <w:t>《大气污染物综合排放标准) (GB16297-1996)</w:t>
            </w:r>
          </w:p>
          <w:p>
            <w:pPr>
              <w:rPr>
                <w:rFonts w:hint="eastAsia"/>
              </w:rPr>
            </w:pPr>
            <w:r>
              <w:rPr>
                <w:rFonts w:hint="eastAsia"/>
              </w:rPr>
              <w:t>《工业企业厂界环境噪声排放标准》(GB12348-2008)2类标准</w:t>
            </w:r>
          </w:p>
          <w:p>
            <w:pPr>
              <w:pStyle w:val="2"/>
              <w:ind w:left="0" w:leftChars="0" w:firstLine="0" w:firstLineChars="0"/>
            </w:pPr>
            <w:r>
              <w:rPr>
                <w:rFonts w:hint="eastAsia"/>
              </w:rPr>
              <w:t>《挥发性有机物排放标准第4部分塑料制品业》(DB36/1101.4-2019)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破碎—配料—混合—熔融挤出—切割—筛分—抽检—包装—入库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napToGrid w:val="0"/>
              <w:spacing w:line="280" w:lineRule="exact"/>
              <w:jc w:val="left"/>
              <w:rPr>
                <w:rFonts w:hint="eastAsia" w:eastAsia="宋体"/>
                <w:b w:val="0"/>
                <w:bCs/>
                <w:sz w:val="20"/>
                <w:lang w:eastAsia="zh-CN"/>
              </w:rPr>
            </w:pPr>
            <w:r>
              <w:rPr>
                <w:rFonts w:hint="eastAsia" w:ascii="宋体" w:hAnsi="宋体"/>
                <w:color w:val="000000"/>
                <w:sz w:val="20"/>
                <w:szCs w:val="20"/>
              </w:rPr>
              <w:t>关键过程有：</w:t>
            </w:r>
            <w:r>
              <w:rPr>
                <w:rFonts w:hint="eastAsia"/>
                <w:b w:val="0"/>
                <w:bCs/>
                <w:sz w:val="20"/>
              </w:rPr>
              <w:t>配料</w:t>
            </w:r>
            <w:r>
              <w:rPr>
                <w:rFonts w:hint="eastAsia"/>
                <w:b w:val="0"/>
                <w:bCs/>
                <w:sz w:val="20"/>
                <w:lang w:eastAsia="zh-CN"/>
              </w:rPr>
              <w:t>、</w:t>
            </w:r>
            <w:r>
              <w:rPr>
                <w:rFonts w:hint="eastAsia" w:ascii="宋体" w:hAnsi="宋体"/>
                <w:color w:val="000000"/>
                <w:sz w:val="20"/>
                <w:szCs w:val="20"/>
                <w:lang w:val="en-US" w:eastAsia="zh-CN"/>
              </w:rPr>
              <w:t>熔融挤出</w:t>
            </w:r>
          </w:p>
          <w:p>
            <w:pPr>
              <w:rPr>
                <w:rFonts w:ascii="宋体"/>
                <w:color w:val="000000"/>
                <w:sz w:val="20"/>
                <w:szCs w:val="20"/>
              </w:rPr>
            </w:pPr>
            <w:r>
              <w:rPr>
                <w:rFonts w:hint="eastAsia"/>
                <w:b w:val="0"/>
                <w:bCs/>
                <w:sz w:val="20"/>
              </w:rPr>
              <w:t>按照配方要求，根据配料单配料后复核；或者通过系统设置参数后，系统自动控制；监测装置进行校准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工艺文件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:熔融挤出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highlight w:val="none"/>
              </w:rPr>
              <w:t>主要设备：</w:t>
            </w:r>
            <w:r>
              <w:rPr>
                <w:rFonts w:hint="eastAsia" w:ascii="宋体" w:hAnsi="宋体"/>
                <w:color w:val="000000"/>
                <w:spacing w:val="-10"/>
                <w:sz w:val="20"/>
                <w:szCs w:val="20"/>
                <w:highlight w:val="none"/>
                <w:lang w:val="en-US" w:eastAsia="zh-CN"/>
              </w:rPr>
              <w:t>高混机、冷混机、上料机、破碎机、挤出机、震动筛、集尘装置、注塑机、磨粉机等；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highlight w:val="none"/>
              </w:rPr>
              <w:t>监视和测量设备（请简述主要监视和测量设备）：游标卡尺</w:t>
            </w:r>
            <w:r>
              <w:rPr>
                <w:rFonts w:hint="eastAsia" w:ascii="宋体"/>
                <w:color w:val="000000"/>
                <w:sz w:val="20"/>
                <w:szCs w:val="20"/>
                <w:highlight w:val="none"/>
                <w:lang w:eastAsia="zh-CN"/>
              </w:rPr>
              <w:t>、</w:t>
            </w:r>
            <w:r>
              <w:rPr>
                <w:rFonts w:hint="eastAsia" w:ascii="宋体"/>
                <w:color w:val="000000"/>
                <w:sz w:val="20"/>
                <w:szCs w:val="20"/>
                <w:highlight w:val="none"/>
              </w:rPr>
              <w:t>钢卷尺</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压力表、</w:t>
            </w:r>
            <w:r>
              <w:rPr>
                <w:rFonts w:hint="eastAsia" w:ascii="宋体"/>
                <w:color w:val="000000"/>
                <w:sz w:val="20"/>
                <w:szCs w:val="20"/>
                <w:highlight w:val="none"/>
              </w:rPr>
              <w:t>熔指仪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满足产品要求所需</w:t>
            </w:r>
          </w:p>
          <w:p>
            <w:pPr>
              <w:rPr>
                <w:rFonts w:ascii="宋体"/>
                <w:color w:val="000000"/>
                <w:sz w:val="20"/>
                <w:szCs w:val="20"/>
              </w:rPr>
            </w:pPr>
            <w:r>
              <w:rPr>
                <w:rFonts w:hint="eastAsia" w:ascii="宋体" w:hAnsi="宋体"/>
                <w:color w:val="000000"/>
                <w:sz w:val="20"/>
                <w:szCs w:val="20"/>
                <w:highlight w:val="none"/>
              </w:rPr>
              <w:t>工作环境</w:t>
            </w:r>
          </w:p>
        </w:tc>
        <w:tc>
          <w:tcPr>
            <w:tcW w:w="7427" w:type="dxa"/>
          </w:tcPr>
          <w:p>
            <w:pPr>
              <w:rPr>
                <w:rFonts w:ascii="宋体"/>
                <w:color w:val="000000"/>
                <w:sz w:val="20"/>
                <w:szCs w:val="20"/>
              </w:rPr>
            </w:pPr>
            <w:r>
              <w:rPr>
                <w:rFonts w:hint="eastAsia" w:ascii="宋体"/>
                <w:color w:val="000000"/>
                <w:sz w:val="20"/>
                <w:szCs w:val="20"/>
              </w:rPr>
              <w:t>温度、湿度、通风、采光等满足要求，人际关系和谐、无歧视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Times New Roman" w:hAnsi="Times New Roman" w:eastAsia="宋体" w:cs="Times New Roman"/>
                <w:b w:val="0"/>
                <w:bCs/>
                <w:kern w:val="2"/>
                <w:sz w:val="20"/>
                <w:szCs w:val="22"/>
                <w:lang w:val="en-US" w:eastAsia="zh-CN" w:bidi="ar-SA"/>
              </w:rPr>
              <w:t>固废</w:t>
            </w:r>
            <w:r>
              <w:rPr>
                <w:rFonts w:hint="eastAsia" w:cs="Times New Roman"/>
                <w:b w:val="0"/>
                <w:bCs/>
                <w:kern w:val="2"/>
                <w:sz w:val="20"/>
                <w:szCs w:val="22"/>
                <w:lang w:val="en-US" w:eastAsia="zh-CN" w:bidi="ar-SA"/>
              </w:rPr>
              <w:t>排放</w:t>
            </w:r>
            <w:r>
              <w:rPr>
                <w:rFonts w:hint="eastAsia" w:ascii="Times New Roman" w:hAnsi="Times New Roman" w:eastAsia="宋体" w:cs="Times New Roman"/>
                <w:b w:val="0"/>
                <w:bCs/>
                <w:kern w:val="2"/>
                <w:sz w:val="20"/>
                <w:szCs w:val="22"/>
                <w:lang w:val="en-US" w:eastAsia="zh-CN" w:bidi="ar-SA"/>
              </w:rPr>
              <w:t>、噪声排放、粉尘排放、潜在火灾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针对重要环境因素建立了运行控制程序：管理运行控制程序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针对重要环境因素是否明确了监视和测量的要求：管理体系监视和测量控制程序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highlight w:val="none"/>
              </w:rPr>
              <w:t>应急预案有：火灾应急预案</w:t>
            </w:r>
            <w:r>
              <w:rPr>
                <w:rFonts w:hint="eastAsia" w:ascii="宋体"/>
                <w:color w:val="000000"/>
                <w:sz w:val="20"/>
                <w:szCs w:val="20"/>
                <w:highlight w:val="none"/>
                <w:lang w:eastAsia="zh-CN"/>
              </w:rPr>
              <w:t>、</w:t>
            </w:r>
            <w:r>
              <w:rPr>
                <w:rFonts w:hint="eastAsia" w:ascii="宋体"/>
                <w:color w:val="000000"/>
                <w:sz w:val="20"/>
                <w:szCs w:val="20"/>
                <w:highlight w:val="none"/>
                <w:lang w:val="en-US" w:eastAsia="zh-CN"/>
              </w:rPr>
              <w:t>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重点审核过程：生产、质检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260" w:lineRule="exact"/>
              <w:rPr>
                <w:rFonts w:hint="eastAsia" w:eastAsia="宋体"/>
                <w:lang w:eastAsia="zh-CN"/>
              </w:rPr>
            </w:pPr>
            <w:r>
              <w:rPr>
                <w:rFonts w:hint="eastAsia"/>
              </w:rPr>
              <w:t>了解内审的策划</w:t>
            </w:r>
            <w:r>
              <w:rPr>
                <w:rFonts w:hint="eastAsia"/>
                <w:lang w:eastAsia="zh-CN"/>
              </w:rPr>
              <w:t>；</w:t>
            </w:r>
          </w:p>
          <w:p>
            <w:pPr>
              <w:pStyle w:val="2"/>
            </w:pPr>
            <w:r>
              <w:rPr>
                <w:rFonts w:hint="eastAsia" w:ascii="宋体" w:hAnsi="宋体"/>
                <w:b/>
                <w:color w:val="000000"/>
                <w:sz w:val="20"/>
                <w:szCs w:val="20"/>
                <w:lang w:val="en-US" w:eastAsia="zh-CN"/>
              </w:rPr>
              <w:t>策划有内审管理程序、内审计划等；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pPr>
            <w:r>
              <w:rPr>
                <w:rFonts w:hint="eastAsia"/>
              </w:rPr>
              <w:t>了解内审是否覆盖了管理体系范围内的活动及标准的要求</w:t>
            </w:r>
            <w:r>
              <w:t xml:space="preserve">; </w:t>
            </w:r>
          </w:p>
          <w:p>
            <w:pPr>
              <w:pStyle w:val="2"/>
            </w:pPr>
            <w:r>
              <w:rPr>
                <w:rFonts w:hint="eastAsia" w:ascii="宋体" w:hAnsi="宋体"/>
                <w:b/>
                <w:color w:val="000000"/>
                <w:sz w:val="20"/>
                <w:szCs w:val="20"/>
                <w:lang w:val="en-US" w:eastAsia="zh-CN"/>
              </w:rPr>
              <w:t>覆盖全部门、全条款；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hint="eastAsia"/>
              </w:rPr>
            </w:pPr>
            <w:r>
              <w:rPr>
                <w:rFonts w:hint="eastAsia"/>
              </w:rPr>
              <w:t>了解内审结论是什么？</w:t>
            </w:r>
          </w:p>
          <w:p>
            <w:pPr>
              <w:pStyle w:val="2"/>
            </w:pPr>
            <w:r>
              <w:rPr>
                <w:rFonts w:hint="eastAsia" w:ascii="宋体" w:hAnsi="宋体"/>
                <w:b/>
                <w:color w:val="000000"/>
                <w:sz w:val="20"/>
                <w:szCs w:val="20"/>
                <w:lang w:val="en-US" w:eastAsia="zh-CN"/>
              </w:rPr>
              <w:t>符合标准要求，也符合相关法律、法规要求的，在管理体系运行的过程中，本公司认为是较适宜的、充分的，其运行是有较的。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pPr>
            <w:r>
              <w:rPr>
                <w:rFonts w:hint="eastAsia"/>
              </w:rPr>
              <w:t>了解管理评审的策划</w:t>
            </w:r>
            <w:r>
              <w:t xml:space="preserve">; </w:t>
            </w:r>
          </w:p>
          <w:p>
            <w:pPr>
              <w:pStyle w:val="2"/>
            </w:pPr>
            <w:r>
              <w:rPr>
                <w:rFonts w:hint="eastAsia" w:ascii="宋体" w:hAnsi="宋体"/>
                <w:b/>
                <w:color w:val="000000"/>
                <w:sz w:val="20"/>
                <w:szCs w:val="20"/>
                <w:lang w:val="en-US" w:eastAsia="zh-CN"/>
              </w:rPr>
              <w:t>策划有管理评审控制程序、管理评审计划等；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yellow"/>
              </w:rPr>
            </w:pPr>
          </w:p>
        </w:tc>
        <w:tc>
          <w:tcPr>
            <w:tcW w:w="8221" w:type="dxa"/>
          </w:tcPr>
          <w:p>
            <w:pPr>
              <w:spacing w:line="260" w:lineRule="exact"/>
            </w:pPr>
            <w:r>
              <w:rPr>
                <w:rFonts w:hint="eastAsia"/>
              </w:rPr>
              <w:t>了解管理评审输入是否充分</w:t>
            </w:r>
            <w:r>
              <w:t xml:space="preserve">; </w:t>
            </w:r>
          </w:p>
          <w:p>
            <w:pPr>
              <w:pStyle w:val="2"/>
            </w:pPr>
            <w:r>
              <w:rPr>
                <w:rFonts w:hint="eastAsia" w:ascii="宋体" w:hAnsi="宋体"/>
                <w:b/>
                <w:color w:val="000000"/>
                <w:sz w:val="20"/>
                <w:szCs w:val="20"/>
                <w:lang w:val="en-US" w:eastAsia="zh-CN"/>
              </w:rPr>
              <w:t>管理评审输入充分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yellow"/>
              </w:rPr>
            </w:pPr>
          </w:p>
        </w:tc>
        <w:tc>
          <w:tcPr>
            <w:tcW w:w="8221" w:type="dxa"/>
          </w:tcPr>
          <w:p>
            <w:pPr>
              <w:spacing w:line="260" w:lineRule="exact"/>
            </w:pPr>
            <w:r>
              <w:rPr>
                <w:rFonts w:hint="eastAsia"/>
              </w:rPr>
              <w:t>了解管理评审结论</w:t>
            </w:r>
            <w:r>
              <w:t xml:space="preserve">; </w:t>
            </w:r>
          </w:p>
          <w:p>
            <w:pPr>
              <w:pStyle w:val="2"/>
            </w:pPr>
            <w:r>
              <w:rPr>
                <w:rFonts w:hint="eastAsia" w:ascii="宋体" w:hAnsi="宋体"/>
                <w:b/>
                <w:color w:val="000000"/>
                <w:sz w:val="20"/>
                <w:szCs w:val="20"/>
                <w:lang w:val="en-US" w:eastAsia="zh-CN"/>
              </w:rPr>
              <w:t>公司的管理体系的建立和运行是充分的、适宜的、有效的。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hAnsi="宋体"/>
                <w:b w:val="0"/>
                <w:bCs/>
                <w:color w:val="000000"/>
                <w:sz w:val="20"/>
                <w:szCs w:val="20"/>
              </w:rPr>
              <w:t>内审和管理评审</w:t>
            </w:r>
            <w:r>
              <w:rPr>
                <w:rFonts w:hint="eastAsia" w:ascii="宋体" w:hAnsi="宋体"/>
                <w:b w:val="0"/>
                <w:bCs/>
                <w:color w:val="000000"/>
                <w:sz w:val="20"/>
                <w:szCs w:val="20"/>
                <w:lang w:val="en-US" w:eastAsia="zh-CN"/>
              </w:rPr>
              <w:t>基本满足要求，已具备二阶段审核条件。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pStyle w:val="2"/>
        <w:rPr>
          <w:rFonts w:hint="eastAsia"/>
        </w:rPr>
      </w:pPr>
      <w:r>
        <w:rPr>
          <w:rFonts w:hint="eastAsia"/>
        </w:rPr>
        <w:t>Q：高分子新材料（黑色母粒）的生产</w:t>
      </w:r>
    </w:p>
    <w:p>
      <w:pPr>
        <w:pStyle w:val="2"/>
        <w:rPr>
          <w:rFonts w:hint="eastAsia"/>
        </w:rPr>
      </w:pPr>
      <w:r>
        <w:rPr>
          <w:rFonts w:hint="eastAsia"/>
        </w:rPr>
        <w:t>E：高分子新材料（黑色母粒）的生产所涉及场所的相关环境管理活动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41" w:firstLineChars="100"/>
        <w:rPr>
          <w:rFonts w:ascii="宋体"/>
          <w:b/>
          <w:bCs/>
          <w:color w:val="000000"/>
          <w:sz w:val="26"/>
          <w:szCs w:val="26"/>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1929130</wp:posOffset>
            </wp:positionH>
            <wp:positionV relativeFrom="paragraph">
              <wp:posOffset>297815</wp:posOffset>
            </wp:positionV>
            <wp:extent cx="655955" cy="395605"/>
            <wp:effectExtent l="0" t="0" r="10795" b="444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3" w:firstLineChars="400"/>
        <w:rPr>
          <w:rFonts w:hint="eastAsia" w:ascii="宋体" w:hAnsi="宋体"/>
          <w:b/>
          <w:color w:val="000000"/>
          <w:highlight w:val="none"/>
        </w:rPr>
      </w:pPr>
      <w:r>
        <w:rPr>
          <w:rFonts w:hint="eastAsia" w:eastAsia="宋体"/>
          <w:b/>
          <w:sz w:val="20"/>
          <w:lang w:eastAsia="zh-CN"/>
        </w:rPr>
        <w:drawing>
          <wp:anchor distT="0" distB="0" distL="114300" distR="114300" simplePos="0" relativeHeight="251667456" behindDoc="0" locked="0" layoutInCell="1" allowOverlap="1">
            <wp:simplePos x="0" y="0"/>
            <wp:positionH relativeFrom="column">
              <wp:posOffset>1786890</wp:posOffset>
            </wp:positionH>
            <wp:positionV relativeFrom="paragraph">
              <wp:posOffset>194310</wp:posOffset>
            </wp:positionV>
            <wp:extent cx="719455" cy="414020"/>
            <wp:effectExtent l="0" t="0" r="4445" b="5080"/>
            <wp:wrapNone/>
            <wp:docPr id="5" name="图片 5" descr="肖志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志良"/>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719455" cy="414020"/>
                    </a:xfrm>
                    <a:prstGeom prst="rect">
                      <a:avLst/>
                    </a:prstGeom>
                  </pic:spPr>
                </pic:pic>
              </a:graphicData>
            </a:graphic>
          </wp:anchor>
        </w:drawing>
      </w:r>
    </w:p>
    <w:p>
      <w:pPr>
        <w:spacing w:line="400" w:lineRule="exact"/>
        <w:ind w:firstLine="843" w:firstLineChars="400"/>
        <w:rPr>
          <w:rFonts w:ascii="宋体"/>
          <w:b/>
          <w:color w:val="000000"/>
          <w:highlight w:val="none"/>
        </w:rPr>
      </w:pPr>
      <w:r>
        <w:rPr>
          <w:rFonts w:hint="eastAsia" w:ascii="宋体" w:hAnsi="宋体"/>
          <w:b/>
          <w:color w:val="000000"/>
          <w:highlight w:val="none"/>
        </w:rPr>
        <w:t>审核组组员</w:t>
      </w:r>
      <w:r>
        <w:rPr>
          <w:rFonts w:ascii="宋体" w:hAnsi="宋体"/>
          <w:b/>
          <w:color w:val="000000"/>
          <w:highlight w:val="none"/>
        </w:rPr>
        <w:t>(</w:t>
      </w:r>
      <w:r>
        <w:rPr>
          <w:rFonts w:hint="eastAsia" w:ascii="宋体" w:hAnsi="宋体"/>
          <w:b/>
          <w:color w:val="000000"/>
          <w:highlight w:val="none"/>
        </w:rPr>
        <w:t>签名</w:t>
      </w:r>
      <w:r>
        <w:rPr>
          <w:rFonts w:ascii="宋体" w:hAnsi="宋体"/>
          <w:b/>
          <w:color w:val="000000"/>
          <w:highlight w:val="none"/>
        </w:rPr>
        <w:t xml:space="preserve">):   </w:t>
      </w:r>
    </w:p>
    <w:p>
      <w:pPr>
        <w:spacing w:line="360" w:lineRule="exact"/>
        <w:ind w:firstLine="843" w:firstLineChars="400"/>
        <w:rPr>
          <w:rFonts w:ascii="宋体"/>
          <w:b/>
          <w:color w:val="000000"/>
        </w:rPr>
      </w:pPr>
    </w:p>
    <w:p>
      <w:pPr>
        <w:ind w:firstLine="6487" w:firstLineChars="30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bookmarkStart w:id="23" w:name="_GoBack"/>
      <w:r>
        <w:rPr>
          <w:rFonts w:hint="eastAsia" w:eastAsia="隶书"/>
          <w:color w:val="000000"/>
          <w:sz w:val="32"/>
          <w:szCs w:val="32"/>
          <w:lang w:eastAsia="zh-CN"/>
        </w:rPr>
        <w:drawing>
          <wp:anchor distT="0" distB="0" distL="114300" distR="114300" simplePos="0" relativeHeight="251668480" behindDoc="0" locked="0" layoutInCell="1" allowOverlap="1">
            <wp:simplePos x="0" y="0"/>
            <wp:positionH relativeFrom="column">
              <wp:posOffset>-476250</wp:posOffset>
            </wp:positionH>
            <wp:positionV relativeFrom="paragraph">
              <wp:posOffset>-1104900</wp:posOffset>
            </wp:positionV>
            <wp:extent cx="7538085" cy="10739755"/>
            <wp:effectExtent l="0" t="0" r="5715" b="4445"/>
            <wp:wrapNone/>
            <wp:docPr id="6" name="图片 6"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0"/>
                    <pic:cNvPicPr>
                      <a:picLocks noChangeAspect="1"/>
                    </pic:cNvPicPr>
                  </pic:nvPicPr>
                  <pic:blipFill>
                    <a:blip r:embed="rId8"/>
                    <a:stretch>
                      <a:fillRect/>
                    </a:stretch>
                  </pic:blipFill>
                  <pic:spPr>
                    <a:xfrm>
                      <a:off x="0" y="0"/>
                      <a:ext cx="7538085" cy="10739755"/>
                    </a:xfrm>
                    <a:prstGeom prst="rect">
                      <a:avLst/>
                    </a:prstGeom>
                  </pic:spPr>
                </pic:pic>
              </a:graphicData>
            </a:graphic>
          </wp:anchor>
        </w:drawing>
      </w:r>
      <w:bookmarkEnd w:id="23"/>
      <w:r>
        <w:rPr>
          <w:rFonts w:hint="eastAsia" w:eastAsia="隶书"/>
          <w:color w:val="000000"/>
          <w:szCs w:val="21"/>
        </w:rPr>
        <w:t>附</w:t>
      </w:r>
    </w:p>
    <w:p>
      <w:pPr>
        <w:pStyle w:val="5"/>
        <w:pBdr>
          <w:bottom w:val="none" w:color="auto" w:sz="0" w:space="0"/>
        </w:pBdr>
        <w:ind w:right="600" w:firstLine="660"/>
        <w:rPr>
          <w:rFonts w:hint="eastAsia" w:eastAsia="隶书"/>
          <w:color w:val="000000"/>
          <w:sz w:val="32"/>
          <w:szCs w:val="32"/>
          <w:lang w:eastAsia="zh-CN"/>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ascii="宋体" w:hAnsi="宋体"/>
                <w:sz w:val="21"/>
                <w:lang w:val="en-US" w:eastAsia="zh-CN"/>
              </w:rPr>
              <w:t>管理手册中“0.4组织机构图”组织机构设置为行政部、生产部、质检部、供销部，现场审核实际为综合管理部与生产部；</w:t>
            </w:r>
          </w:p>
        </w:tc>
        <w:tc>
          <w:tcPr>
            <w:tcW w:w="1688"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QE</w:t>
            </w:r>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524510</wp:posOffset>
                  </wp:positionH>
                  <wp:positionV relativeFrom="paragraph">
                    <wp:posOffset>161925</wp:posOffset>
                  </wp:positionV>
                  <wp:extent cx="655955" cy="395605"/>
                  <wp:effectExtent l="0" t="0" r="10795" b="4445"/>
                  <wp:wrapNone/>
                  <wp:docPr id="3"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rFonts w:hint="eastAsia"/>
                <w:b/>
                <w:color w:val="000000"/>
                <w:spacing w:val="-10"/>
                <w:szCs w:val="21"/>
              </w:rPr>
              <w:sym w:font="Wingdings 2" w:char="00A3"/>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textAlignment w:val="auto"/>
              <w:rPr>
                <w:rFonts w:hint="eastAsia"/>
                <w:b/>
                <w:color w:val="000000"/>
                <w:sz w:val="22"/>
                <w:szCs w:val="2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textAlignment w:val="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9</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557530</wp:posOffset>
                  </wp:positionH>
                  <wp:positionV relativeFrom="paragraph">
                    <wp:posOffset>170180</wp:posOffset>
                  </wp:positionV>
                  <wp:extent cx="655955" cy="395605"/>
                  <wp:effectExtent l="0" t="0" r="10795" b="4445"/>
                  <wp:wrapNone/>
                  <wp:docPr id="4"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655955" cy="395605"/>
                          </a:xfrm>
                          <a:prstGeom prst="rect">
                            <a:avLst/>
                          </a:prstGeom>
                          <a:noFill/>
                          <a:ln>
                            <a:noFill/>
                          </a:ln>
                        </pic:spPr>
                      </pic:pic>
                    </a:graphicData>
                  </a:graphic>
                </wp:anchor>
              </w:drawing>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D031D7"/>
    <w:rsid w:val="13F754C7"/>
    <w:rsid w:val="15C0234D"/>
    <w:rsid w:val="28E33D34"/>
    <w:rsid w:val="29DA4FCD"/>
    <w:rsid w:val="4A6453DD"/>
    <w:rsid w:val="67B80204"/>
    <w:rsid w:val="6B416486"/>
    <w:rsid w:val="7F224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6217</Words>
  <Characters>6751</Characters>
  <Lines>48</Lines>
  <Paragraphs>13</Paragraphs>
  <TotalTime>14</TotalTime>
  <ScaleCrop>false</ScaleCrop>
  <LinksUpToDate>false</LinksUpToDate>
  <CharactersWithSpaces>6936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2021-05-14T04:45:51Z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