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4"/>
        <w:gridCol w:w="1179"/>
        <w:gridCol w:w="6"/>
        <w:gridCol w:w="567"/>
        <w:gridCol w:w="946"/>
        <w:gridCol w:w="371"/>
        <w:gridCol w:w="101"/>
        <w:gridCol w:w="528"/>
        <w:gridCol w:w="61"/>
        <w:gridCol w:w="59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重庆市万州区重报万州中心7-307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涂腾飞</w:t>
            </w:r>
            <w:bookmarkEnd w:id="2"/>
          </w:p>
        </w:tc>
        <w:tc>
          <w:tcPr>
            <w:tcW w:w="11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15330327166</w:t>
            </w:r>
            <w:bookmarkEnd w:id="3"/>
          </w:p>
        </w:tc>
        <w:tc>
          <w:tcPr>
            <w:tcW w:w="106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彭伟</w:t>
            </w:r>
          </w:p>
        </w:tc>
        <w:tc>
          <w:tcPr>
            <w:tcW w:w="11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9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06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0393-2021-QEO</w:t>
            </w:r>
            <w:bookmarkEnd w:id="8"/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Q：保安服务（限许可范围内），安防设备的销售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E：保安服务（限许可范围内），安防设备的销售所涉及场所的相关环境管理活动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O：保安服务（限许可范围内），安防设备的销售所涉及场所的相关职业健康安全管理活动</w:t>
            </w:r>
            <w:bookmarkEnd w:id="13"/>
          </w:p>
        </w:tc>
        <w:tc>
          <w:tcPr>
            <w:tcW w:w="62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O：29.10.07;35.12.00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2021年05月06日 上午至2021年05月06日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O:29.10.07,35.12.00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O:29.10.07,35.12.00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ind w:firstLine="800" w:firstLineChars="400"/>
              <w:jc w:val="both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叶明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Q:35.12.00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18996680835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8"/>
        <w:gridCol w:w="992"/>
        <w:gridCol w:w="565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8：30-16：00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57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57" w:type="dxa"/>
            <w:tcBorders>
              <w:top w:val="nil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/权限；6.2质量目标及其实现的策划；7.1.4过程运行环境7.2能力；7.3意识；7.5文件化信息；9.2内部审核；10.2不符合和纠正措施；10.3持续改进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6.2目标及其实现的策划；7.2能力；7.3意识；7.4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/OHSMS运行控制财务支出证据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文平、叶明</w:t>
            </w: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10" w:type="dxa"/>
            <w:vMerge w:val="restart"/>
            <w:tcBorders>
              <w:top w:val="nil"/>
              <w:left w:val="single" w:color="auto" w:sz="8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安保部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（含临时场所）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sz w:val="20"/>
              </w:rPr>
              <w:t>安防设备的销售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8.6产品和服务放行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sz w:val="20"/>
              </w:rPr>
              <w:t>安防设备的销售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57" w:type="dxa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5"/>
                <w:szCs w:val="15"/>
              </w:rPr>
            </w:pP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E667C"/>
    <w:rsid w:val="2C1F62B9"/>
    <w:rsid w:val="37FA464B"/>
    <w:rsid w:val="3B3E0F1E"/>
    <w:rsid w:val="42AB6C62"/>
    <w:rsid w:val="4F59078C"/>
    <w:rsid w:val="51203C3F"/>
    <w:rsid w:val="575341B8"/>
    <w:rsid w:val="774A40C1"/>
    <w:rsid w:val="774F4D36"/>
    <w:rsid w:val="7BC20321"/>
    <w:rsid w:val="7D0F1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16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2021-05-06T01:43:00Z</cp:lastPrinted>
  <dcterms:modified xsi:type="dcterms:W3CDTF">2021-05-06T06:54:59Z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22853917ED064FD68E134AC7908D8765</vt:lpwstr>
  </property>
</Properties>
</file>