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lang w:eastAsia="zh-CN"/>
        </w:rPr>
        <w:t>饶阳县路胜铁路信号器材有限公司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28"/>
        <w:gridCol w:w="1354"/>
        <w:gridCol w:w="2564"/>
        <w:gridCol w:w="382"/>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28" w:type="dxa"/>
            <w:vAlign w:val="center"/>
          </w:tcPr>
          <w:p>
            <w:pPr>
              <w:jc w:val="center"/>
              <w:rPr>
                <w:b/>
                <w:sz w:val="21"/>
                <w:szCs w:val="21"/>
              </w:rPr>
            </w:pPr>
            <w:r>
              <w:rPr>
                <w:rFonts w:hint="eastAsia"/>
                <w:b/>
                <w:sz w:val="21"/>
                <w:szCs w:val="21"/>
              </w:rPr>
              <w:t>职务</w:t>
            </w:r>
          </w:p>
        </w:tc>
        <w:tc>
          <w:tcPr>
            <w:tcW w:w="1354" w:type="dxa"/>
            <w:vAlign w:val="center"/>
          </w:tcPr>
          <w:p>
            <w:pPr>
              <w:jc w:val="center"/>
              <w:rPr>
                <w:b/>
                <w:sz w:val="21"/>
                <w:szCs w:val="21"/>
              </w:rPr>
            </w:pPr>
            <w:r>
              <w:rPr>
                <w:rFonts w:hint="eastAsia"/>
                <w:b/>
                <w:sz w:val="21"/>
                <w:szCs w:val="21"/>
              </w:rPr>
              <w:t>注册级别</w:t>
            </w:r>
          </w:p>
        </w:tc>
        <w:tc>
          <w:tcPr>
            <w:tcW w:w="2564" w:type="dxa"/>
            <w:vAlign w:val="center"/>
          </w:tcPr>
          <w:p>
            <w:pPr>
              <w:jc w:val="center"/>
              <w:rPr>
                <w:b/>
                <w:sz w:val="21"/>
                <w:szCs w:val="21"/>
              </w:rPr>
            </w:pPr>
            <w:r>
              <w:rPr>
                <w:rFonts w:hint="eastAsia"/>
                <w:b/>
                <w:sz w:val="21"/>
                <w:szCs w:val="21"/>
              </w:rPr>
              <w:t>审核员注册号</w:t>
            </w:r>
          </w:p>
        </w:tc>
        <w:tc>
          <w:tcPr>
            <w:tcW w:w="2846" w:type="dxa"/>
            <w:gridSpan w:val="3"/>
            <w:vAlign w:val="center"/>
          </w:tcPr>
          <w:p>
            <w:pPr>
              <w:jc w:val="center"/>
              <w:rPr>
                <w:b/>
                <w:sz w:val="21"/>
                <w:szCs w:val="21"/>
              </w:rPr>
            </w:pPr>
            <w:r>
              <w:rPr>
                <w:rFonts w:hint="eastAsia"/>
                <w:b/>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kern w:val="2"/>
                <w:sz w:val="20"/>
                <w:lang w:val="en-US" w:eastAsia="zh-CN" w:bidi="ar-SA"/>
              </w:rPr>
            </w:pPr>
            <w:r>
              <w:rPr>
                <w:sz w:val="20"/>
              </w:rPr>
              <w:t>吉洁</w:t>
            </w:r>
          </w:p>
        </w:tc>
        <w:tc>
          <w:tcPr>
            <w:tcW w:w="824"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1228"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354" w:type="dxa"/>
            <w:vAlign w:val="center"/>
          </w:tcPr>
          <w:p>
            <w:pPr>
              <w:jc w:val="center"/>
              <w:rPr>
                <w:sz w:val="20"/>
              </w:rPr>
            </w:pPr>
            <w:r>
              <w:rPr>
                <w:sz w:val="20"/>
              </w:rPr>
              <w:t>O:审核员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Q:审核员</w:t>
            </w:r>
          </w:p>
        </w:tc>
        <w:tc>
          <w:tcPr>
            <w:tcW w:w="2564" w:type="dxa"/>
            <w:vAlign w:val="center"/>
          </w:tcPr>
          <w:p>
            <w:pPr>
              <w:jc w:val="center"/>
              <w:rPr>
                <w:sz w:val="20"/>
              </w:rPr>
            </w:pPr>
            <w:r>
              <w:rPr>
                <w:sz w:val="20"/>
              </w:rPr>
              <w:t>2020-N1OHSMS-3022240</w:t>
            </w:r>
          </w:p>
          <w:p>
            <w:pPr>
              <w:jc w:val="center"/>
              <w:rPr>
                <w:sz w:val="20"/>
              </w:rPr>
            </w:pPr>
            <w:r>
              <w:rPr>
                <w:sz w:val="20"/>
              </w:rPr>
              <w:t>2020-N1EMS-3022240</w:t>
            </w:r>
          </w:p>
          <w:p>
            <w:pPr>
              <w:jc w:val="center"/>
              <w:rPr>
                <w:rFonts w:ascii="Times New Roman" w:hAnsi="Times New Roman" w:eastAsia="宋体" w:cs="Times New Roman"/>
                <w:kern w:val="2"/>
                <w:sz w:val="20"/>
                <w:lang w:val="en-US" w:eastAsia="zh-CN" w:bidi="ar-SA"/>
              </w:rPr>
            </w:pPr>
            <w:r>
              <w:rPr>
                <w:sz w:val="20"/>
              </w:rPr>
              <w:t>2019-N1QMS-3022240</w:t>
            </w:r>
          </w:p>
        </w:tc>
        <w:tc>
          <w:tcPr>
            <w:tcW w:w="2846" w:type="dxa"/>
            <w:gridSpan w:val="3"/>
            <w:vAlign w:val="center"/>
          </w:tcPr>
          <w:p>
            <w:pPr>
              <w:jc w:val="center"/>
              <w:rPr>
                <w:sz w:val="20"/>
              </w:rPr>
            </w:pPr>
            <w:r>
              <w:rPr>
                <w:sz w:val="20"/>
              </w:rPr>
              <w:t>Q:17.12.05,19.11.02,29.12.00</w:t>
            </w:r>
          </w:p>
          <w:p>
            <w:pPr>
              <w:jc w:val="center"/>
              <w:rPr>
                <w:rFonts w:hint="eastAsia"/>
                <w:sz w:val="20"/>
                <w:lang w:val="en-US" w:eastAsia="zh-CN"/>
              </w:rPr>
            </w:pPr>
            <w:r>
              <w:rPr>
                <w:rFonts w:hint="eastAsia"/>
                <w:sz w:val="20"/>
                <w:lang w:val="en-US" w:eastAsia="zh-CN"/>
              </w:rPr>
              <w:t>E</w:t>
            </w:r>
            <w:r>
              <w:rPr>
                <w:sz w:val="20"/>
              </w:rPr>
              <w:t>:17.12.05,19.11.02,29.12.00</w:t>
            </w:r>
          </w:p>
          <w:p>
            <w:pPr>
              <w:jc w:val="center"/>
              <w:rPr>
                <w:sz w:val="20"/>
                <w:lang w:val="en-US" w:eastAsia="zh-CN"/>
              </w:rPr>
            </w:pPr>
            <w:r>
              <w:rPr>
                <w:rFonts w:hint="eastAsia"/>
                <w:sz w:val="20"/>
                <w:lang w:val="en-US" w:eastAsia="zh-CN"/>
              </w:rPr>
              <w:t>O</w:t>
            </w:r>
            <w:r>
              <w:rPr>
                <w:sz w:val="20"/>
              </w:rPr>
              <w:t>:17.12.05,19.11.02,29.12.00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kern w:val="2"/>
                <w:sz w:val="20"/>
                <w:lang w:val="en-US" w:eastAsia="zh-CN" w:bidi="ar-SA"/>
              </w:rPr>
            </w:pPr>
            <w:r>
              <w:rPr>
                <w:sz w:val="20"/>
              </w:rPr>
              <w:t>李蒙生</w:t>
            </w:r>
          </w:p>
        </w:tc>
        <w:tc>
          <w:tcPr>
            <w:tcW w:w="824" w:type="dxa"/>
            <w:gridSpan w:val="2"/>
            <w:vAlign w:val="center"/>
          </w:tcPr>
          <w:p>
            <w:pPr>
              <w:jc w:val="center"/>
              <w:rPr>
                <w:rFonts w:ascii="Times New Roman" w:hAnsi="Times New Roman" w:eastAsia="宋体" w:cs="Times New Roman"/>
                <w:kern w:val="2"/>
                <w:sz w:val="20"/>
                <w:lang w:val="en-US" w:eastAsia="zh-CN" w:bidi="ar-SA"/>
              </w:rPr>
            </w:pPr>
            <w:r>
              <w:rPr>
                <w:sz w:val="20"/>
              </w:rPr>
              <w:t>男</w:t>
            </w:r>
          </w:p>
        </w:tc>
        <w:tc>
          <w:tcPr>
            <w:tcW w:w="1228"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354" w:type="dxa"/>
            <w:vAlign w:val="center"/>
          </w:tcPr>
          <w:p>
            <w:pPr>
              <w:jc w:val="center"/>
              <w:rPr>
                <w:sz w:val="20"/>
              </w:rPr>
            </w:pPr>
            <w:r>
              <w:rPr>
                <w:sz w:val="20"/>
              </w:rPr>
              <w:t>O:审核员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Q:审核员</w:t>
            </w:r>
          </w:p>
        </w:tc>
        <w:tc>
          <w:tcPr>
            <w:tcW w:w="2564" w:type="dxa"/>
            <w:vAlign w:val="center"/>
          </w:tcPr>
          <w:p>
            <w:pPr>
              <w:jc w:val="center"/>
              <w:rPr>
                <w:sz w:val="20"/>
              </w:rPr>
            </w:pPr>
            <w:r>
              <w:rPr>
                <w:sz w:val="20"/>
              </w:rPr>
              <w:t>2020-N1OHSMS-1237307</w:t>
            </w:r>
          </w:p>
          <w:p>
            <w:pPr>
              <w:jc w:val="center"/>
              <w:rPr>
                <w:sz w:val="20"/>
              </w:rPr>
            </w:pPr>
            <w:r>
              <w:rPr>
                <w:sz w:val="20"/>
              </w:rPr>
              <w:t>2020-N1EMS-1237307</w:t>
            </w:r>
          </w:p>
          <w:p>
            <w:pPr>
              <w:jc w:val="center"/>
              <w:rPr>
                <w:rFonts w:ascii="Times New Roman" w:hAnsi="Times New Roman" w:eastAsia="宋体" w:cs="Times New Roman"/>
                <w:kern w:val="2"/>
                <w:sz w:val="20"/>
                <w:lang w:val="en-US" w:eastAsia="zh-CN" w:bidi="ar-SA"/>
              </w:rPr>
            </w:pPr>
            <w:r>
              <w:rPr>
                <w:sz w:val="20"/>
              </w:rPr>
              <w:t>2020-N1QMS-1237307</w:t>
            </w:r>
          </w:p>
        </w:tc>
        <w:tc>
          <w:tcPr>
            <w:tcW w:w="2846" w:type="dxa"/>
            <w:gridSpan w:val="3"/>
            <w:vAlign w:val="center"/>
          </w:tcPr>
          <w:p>
            <w:pPr>
              <w:jc w:val="center"/>
              <w:rPr>
                <w:sz w:val="20"/>
              </w:rPr>
            </w:pPr>
            <w:r>
              <w:rPr>
                <w:sz w:val="20"/>
              </w:rPr>
              <w:t>O:29.12.00</w:t>
            </w:r>
          </w:p>
          <w:p>
            <w:pPr>
              <w:jc w:val="center"/>
              <w:rPr>
                <w:sz w:val="20"/>
              </w:rPr>
            </w:pPr>
            <w:r>
              <w:rPr>
                <w:sz w:val="20"/>
              </w:rPr>
              <w:t>E:29.12.00</w:t>
            </w:r>
          </w:p>
          <w:p>
            <w:pPr>
              <w:jc w:val="center"/>
              <w:rPr>
                <w:rFonts w:ascii="Times New Roman" w:hAnsi="Times New Roman" w:eastAsia="宋体" w:cs="Times New Roman"/>
                <w:kern w:val="2"/>
                <w:sz w:val="20"/>
                <w:lang w:val="en-US" w:eastAsia="zh-CN" w:bidi="ar-SA"/>
              </w:rPr>
            </w:pPr>
            <w:r>
              <w:rPr>
                <w:sz w:val="20"/>
              </w:rP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kern w:val="2"/>
                <w:sz w:val="20"/>
                <w:lang w:val="en-US" w:eastAsia="zh-CN" w:bidi="ar-SA"/>
              </w:rPr>
            </w:pPr>
            <w:r>
              <w:rPr>
                <w:sz w:val="20"/>
              </w:rPr>
              <w:t>白帆</w:t>
            </w:r>
          </w:p>
        </w:tc>
        <w:tc>
          <w:tcPr>
            <w:tcW w:w="824"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1228"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354" w:type="dxa"/>
            <w:vAlign w:val="center"/>
          </w:tcPr>
          <w:p>
            <w:pPr>
              <w:jc w:val="center"/>
              <w:rPr>
                <w:sz w:val="20"/>
              </w:rPr>
            </w:pPr>
            <w:r>
              <w:rPr>
                <w:sz w:val="20"/>
              </w:rPr>
              <w:t>O:专家</w:t>
            </w:r>
          </w:p>
          <w:p>
            <w:pPr>
              <w:jc w:val="center"/>
              <w:rPr>
                <w:sz w:val="20"/>
              </w:rPr>
            </w:pPr>
            <w:r>
              <w:rPr>
                <w:sz w:val="20"/>
              </w:rPr>
              <w:t>E:专家</w:t>
            </w:r>
          </w:p>
          <w:p>
            <w:pPr>
              <w:jc w:val="center"/>
              <w:rPr>
                <w:rFonts w:ascii="Times New Roman" w:hAnsi="Times New Roman" w:eastAsia="宋体" w:cs="Times New Roman"/>
                <w:kern w:val="2"/>
                <w:sz w:val="20"/>
                <w:lang w:val="en-US" w:eastAsia="zh-CN" w:bidi="ar-SA"/>
              </w:rPr>
            </w:pPr>
            <w:r>
              <w:rPr>
                <w:sz w:val="20"/>
              </w:rPr>
              <w:t>Q:专家</w:t>
            </w:r>
          </w:p>
        </w:tc>
        <w:tc>
          <w:tcPr>
            <w:tcW w:w="2564" w:type="dxa"/>
            <w:vAlign w:val="center"/>
          </w:tcPr>
          <w:p>
            <w:pPr>
              <w:jc w:val="center"/>
              <w:rPr>
                <w:sz w:val="20"/>
              </w:rPr>
            </w:pPr>
            <w:r>
              <w:rPr>
                <w:sz w:val="20"/>
              </w:rPr>
              <w:t>ISC-JSZJ-260</w:t>
            </w:r>
          </w:p>
          <w:p>
            <w:pPr>
              <w:jc w:val="center"/>
              <w:rPr>
                <w:sz w:val="20"/>
              </w:rPr>
            </w:pPr>
            <w:r>
              <w:rPr>
                <w:sz w:val="20"/>
              </w:rPr>
              <w:t>ISC-JSZJ-260</w:t>
            </w:r>
          </w:p>
          <w:p>
            <w:pPr>
              <w:jc w:val="center"/>
              <w:rPr>
                <w:rFonts w:ascii="Times New Roman" w:hAnsi="Times New Roman" w:eastAsia="宋体" w:cs="Times New Roman"/>
                <w:kern w:val="2"/>
                <w:sz w:val="20"/>
                <w:lang w:val="en-US" w:eastAsia="zh-CN" w:bidi="ar-SA"/>
              </w:rPr>
            </w:pPr>
            <w:r>
              <w:rPr>
                <w:sz w:val="20"/>
              </w:rPr>
              <w:t>ISC-JSZJ-260</w:t>
            </w:r>
          </w:p>
        </w:tc>
        <w:tc>
          <w:tcPr>
            <w:tcW w:w="2846" w:type="dxa"/>
            <w:gridSpan w:val="3"/>
            <w:vAlign w:val="center"/>
          </w:tcPr>
          <w:p>
            <w:pPr>
              <w:jc w:val="center"/>
              <w:rPr>
                <w:sz w:val="20"/>
              </w:rPr>
            </w:pPr>
            <w:r>
              <w:rPr>
                <w:sz w:val="20"/>
              </w:rPr>
              <w:t>O:19.11.03</w:t>
            </w:r>
          </w:p>
          <w:p>
            <w:pPr>
              <w:jc w:val="center"/>
              <w:rPr>
                <w:sz w:val="20"/>
              </w:rPr>
            </w:pPr>
            <w:r>
              <w:rPr>
                <w:sz w:val="20"/>
              </w:rPr>
              <w:t>E:19.11.03</w:t>
            </w:r>
          </w:p>
          <w:p>
            <w:pPr>
              <w:jc w:val="center"/>
              <w:rPr>
                <w:rFonts w:ascii="Times New Roman" w:hAnsi="Times New Roman" w:eastAsia="宋体" w:cs="Times New Roman"/>
                <w:kern w:val="2"/>
                <w:sz w:val="20"/>
                <w:lang w:val="en-US" w:eastAsia="zh-CN" w:bidi="ar-SA"/>
              </w:rPr>
            </w:pPr>
            <w:r>
              <w:rPr>
                <w:sz w:val="20"/>
              </w:rPr>
              <w:t>Q:19.11.03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28" w:type="dxa"/>
            <w:vAlign w:val="center"/>
          </w:tcPr>
          <w:p>
            <w:pPr>
              <w:jc w:val="center"/>
              <w:rPr>
                <w:b/>
                <w:sz w:val="21"/>
                <w:szCs w:val="21"/>
              </w:rPr>
            </w:pPr>
            <w:r>
              <w:rPr>
                <w:rFonts w:hint="eastAsia"/>
                <w:b/>
                <w:sz w:val="21"/>
                <w:szCs w:val="21"/>
              </w:rPr>
              <w:t>角色</w:t>
            </w:r>
          </w:p>
        </w:tc>
        <w:tc>
          <w:tcPr>
            <w:tcW w:w="6764"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228" w:type="dxa"/>
            <w:vAlign w:val="center"/>
          </w:tcPr>
          <w:p>
            <w:pPr>
              <w:jc w:val="center"/>
              <w:rPr>
                <w:b/>
                <w:sz w:val="21"/>
                <w:szCs w:val="21"/>
              </w:rPr>
            </w:pPr>
          </w:p>
        </w:tc>
        <w:tc>
          <w:tcPr>
            <w:tcW w:w="6764" w:type="dxa"/>
            <w:gridSpan w:val="5"/>
            <w:vAlign w:val="center"/>
          </w:tcPr>
          <w:p>
            <w:pPr>
              <w:rPr>
                <w:b/>
                <w:sz w:val="21"/>
                <w:szCs w:val="21"/>
              </w:rPr>
            </w:pPr>
          </w:p>
        </w:tc>
      </w:tr>
    </w:tbl>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b/>
          <w:sz w:val="26"/>
          <w:szCs w:val="26"/>
        </w:rPr>
      </w:pPr>
      <w:r>
        <w:rPr>
          <w:rFonts w:hint="eastAsia"/>
          <w:b/>
          <w:sz w:val="26"/>
          <w:szCs w:val="26"/>
        </w:rPr>
        <w:t>二、审核目的</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b/>
          <w:sz w:val="21"/>
          <w:szCs w:val="21"/>
        </w:rPr>
      </w:pPr>
      <w:bookmarkStart w:id="4" w:name="审核目的"/>
      <w:r>
        <w:rPr>
          <w:rFonts w:hint="eastAsia"/>
          <w:b/>
          <w:sz w:val="21"/>
          <w:szCs w:val="21"/>
        </w:rPr>
        <w:t>□认证注册：__________</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eastAsia" w:ascii="宋体" w:hAnsi="宋体"/>
          <w:b/>
          <w:bCs/>
          <w:sz w:val="20"/>
          <w:u w:val="single"/>
          <w:lang w:eastAsia="zh-CN"/>
        </w:rPr>
      </w:pPr>
      <w:r>
        <w:rPr>
          <w:rFonts w:hint="eastAsia"/>
          <w:b/>
          <w:sz w:val="21"/>
          <w:szCs w:val="21"/>
          <w:lang w:eastAsia="zh-CN"/>
        </w:rPr>
        <w:t>☑</w:t>
      </w:r>
      <w:r>
        <w:rPr>
          <w:rFonts w:hint="eastAsia"/>
          <w:b/>
          <w:sz w:val="21"/>
          <w:szCs w:val="21"/>
        </w:rPr>
        <w:t>保持认证注册资格：</w:t>
      </w:r>
      <w:r>
        <w:rPr>
          <w:rFonts w:hint="eastAsia" w:ascii="宋体" w:hAnsi="宋体"/>
          <w:b/>
          <w:bCs/>
          <w:sz w:val="20"/>
          <w:u w:val="single"/>
        </w:rPr>
        <w:t>验证组织管理体系是否持续有效运行，以确定是否推荐保持认证注册资格</w:t>
      </w:r>
      <w:r>
        <w:rPr>
          <w:rFonts w:hint="eastAsia" w:ascii="宋体" w:hAnsi="宋体"/>
          <w:b/>
          <w:bCs/>
          <w:sz w:val="20"/>
          <w:u w:val="single"/>
          <w:lang w:eastAsia="zh-CN"/>
        </w:rPr>
        <w:t>。</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eastAsia"/>
          <w:b/>
          <w:sz w:val="21"/>
          <w:szCs w:val="21"/>
        </w:rPr>
      </w:pPr>
      <w:r>
        <w:rPr>
          <w:rFonts w:hint="eastAsia"/>
          <w:b/>
          <w:sz w:val="21"/>
          <w:szCs w:val="21"/>
          <w:lang w:eastAsia="zh-CN"/>
        </w:rPr>
        <w:t>☑</w:t>
      </w:r>
      <w:r>
        <w:rPr>
          <w:rFonts w:hint="eastAsia"/>
          <w:b/>
          <w:sz w:val="21"/>
          <w:szCs w:val="21"/>
        </w:rPr>
        <w:t>恢复认证注册资格：</w:t>
      </w:r>
      <w:r>
        <w:rPr>
          <w:rFonts w:hint="eastAsia" w:ascii="宋体" w:hAnsi="宋体"/>
          <w:b/>
          <w:bCs/>
          <w:sz w:val="20"/>
          <w:u w:val="single"/>
        </w:rPr>
        <w:t>验证组织管理体系是否持续有效运行，以确定是否</w:t>
      </w:r>
      <w:r>
        <w:rPr>
          <w:rFonts w:hint="eastAsia" w:ascii="宋体" w:hAnsi="宋体"/>
          <w:b/>
          <w:bCs/>
          <w:sz w:val="20"/>
          <w:u w:val="single"/>
          <w:lang w:val="en-US" w:eastAsia="zh-CN"/>
        </w:rPr>
        <w:t>恢复</w:t>
      </w:r>
      <w:r>
        <w:rPr>
          <w:rFonts w:hint="eastAsia" w:ascii="宋体" w:hAnsi="宋体"/>
          <w:b/>
          <w:bCs/>
          <w:sz w:val="20"/>
          <w:u w:val="single"/>
        </w:rPr>
        <w:t>保持认证注册资格</w:t>
      </w:r>
      <w:r>
        <w:rPr>
          <w:rFonts w:hint="eastAsia" w:ascii="宋体" w:hAnsi="宋体"/>
          <w:b/>
          <w:bCs/>
          <w:sz w:val="20"/>
          <w:u w:val="single"/>
          <w:lang w:val="en-US" w:eastAsia="zh-CN"/>
        </w:rPr>
        <w:t>.</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eastAsia"/>
          <w:b/>
          <w:sz w:val="21"/>
          <w:szCs w:val="21"/>
        </w:rPr>
      </w:pPr>
      <w:r>
        <w:rPr>
          <w:rFonts w:hint="eastAsia"/>
          <w:b/>
          <w:sz w:val="21"/>
          <w:szCs w:val="21"/>
        </w:rPr>
        <w:t>□扩大认证范围 ：</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eastAsia"/>
          <w:b/>
          <w:sz w:val="21"/>
          <w:szCs w:val="21"/>
        </w:rPr>
      </w:pPr>
      <w:r>
        <w:rPr>
          <w:rFonts w:hint="eastAsia"/>
          <w:b/>
          <w:sz w:val="21"/>
          <w:szCs w:val="21"/>
          <w:lang w:eastAsia="zh-CN"/>
        </w:rPr>
        <w:t>□</w:t>
      </w:r>
      <w:r>
        <w:rPr>
          <w:rFonts w:hint="eastAsia"/>
          <w:b/>
          <w:sz w:val="21"/>
          <w:szCs w:val="21"/>
        </w:rPr>
        <w:t>其它：__________</w:t>
      </w:r>
      <w:bookmarkEnd w:id="4"/>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b/>
          <w:sz w:val="16"/>
          <w:szCs w:val="16"/>
        </w:rPr>
      </w:pPr>
      <w:r>
        <w:rPr>
          <w:rFonts w:hint="eastAsia"/>
          <w:b/>
          <w:sz w:val="26"/>
          <w:szCs w:val="26"/>
        </w:rPr>
        <w:t>三、审核准则</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default" w:eastAsia="宋体"/>
          <w:b/>
          <w:sz w:val="21"/>
          <w:szCs w:val="21"/>
          <w:lang w:val="en-US" w:eastAsia="zh-CN"/>
        </w:rPr>
      </w:pPr>
      <w:r>
        <w:rPr>
          <w:rFonts w:hint="eastAsia"/>
          <w:b/>
          <w:sz w:val="21"/>
          <w:szCs w:val="21"/>
        </w:rPr>
        <w:t>■ GB/T 19001</w:t>
      </w:r>
      <w:r>
        <w:rPr>
          <w:rFonts w:hint="eastAsia"/>
          <w:b/>
          <w:sz w:val="21"/>
          <w:szCs w:val="21"/>
          <w:lang w:val="en-US" w:eastAsia="zh-CN"/>
        </w:rPr>
        <w:t>-</w:t>
      </w:r>
      <w:r>
        <w:rPr>
          <w:rFonts w:hint="eastAsia"/>
          <w:b/>
          <w:sz w:val="21"/>
          <w:szCs w:val="21"/>
        </w:rPr>
        <w:t xml:space="preserve">2016 idt ISO 9001:2015标准不适用条款: </w:t>
      </w:r>
      <w:r>
        <w:rPr>
          <w:rFonts w:hint="eastAsia"/>
          <w:b/>
          <w:sz w:val="21"/>
          <w:szCs w:val="21"/>
          <w:lang w:val="en-US" w:eastAsia="zh-CN"/>
        </w:rPr>
        <w:t>8.3</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b/>
          <w:sz w:val="21"/>
          <w:szCs w:val="21"/>
        </w:rPr>
      </w:pPr>
      <w:bookmarkStart w:id="5" w:name="QJ勾选Add"/>
      <w:r>
        <w:rPr>
          <w:rFonts w:hint="eastAsia"/>
          <w:b/>
          <w:sz w:val="21"/>
          <w:szCs w:val="21"/>
        </w:rPr>
        <w:t>□</w:t>
      </w:r>
      <w:bookmarkEnd w:id="5"/>
      <w:r>
        <w:rPr>
          <w:rFonts w:hint="eastAsia"/>
          <w:b/>
          <w:sz w:val="21"/>
          <w:szCs w:val="21"/>
        </w:rPr>
        <w:t xml:space="preserve"> GB/T 50430-2017标准不适用条款: </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b/>
          <w:sz w:val="21"/>
          <w:szCs w:val="21"/>
        </w:rPr>
      </w:pPr>
      <w:bookmarkStart w:id="7" w:name="S勾选Add"/>
      <w:r>
        <w:rPr>
          <w:rFonts w:hint="eastAsia"/>
          <w:b/>
          <w:sz w:val="21"/>
          <w:szCs w:val="21"/>
        </w:rPr>
        <w:t>■</w:t>
      </w:r>
      <w:bookmarkEnd w:id="7"/>
      <w:r>
        <w:rPr>
          <w:rFonts w:hint="eastAsia"/>
          <w:b/>
          <w:sz w:val="21"/>
          <w:szCs w:val="21"/>
        </w:rPr>
        <w:t xml:space="preserve"> </w:t>
      </w:r>
      <w:r>
        <w:rPr>
          <w:rFonts w:hint="eastAsia"/>
          <w:b/>
          <w:sz w:val="20"/>
          <w:lang w:val="de-DE"/>
        </w:rPr>
        <w:t>GB/T 28001-2011 idt OHSMS 18001:2007</w:t>
      </w:r>
      <w:r>
        <w:rPr>
          <w:rFonts w:hint="eastAsia"/>
          <w:b/>
          <w:sz w:val="21"/>
          <w:szCs w:val="21"/>
        </w:rPr>
        <w:t>标准</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eastAsia"/>
          <w:b/>
          <w:sz w:val="21"/>
          <w:szCs w:val="21"/>
        </w:rPr>
      </w:pPr>
      <w:bookmarkStart w:id="8" w:name="S勾选Add1"/>
      <w:r>
        <w:rPr>
          <w:rFonts w:hint="eastAsia"/>
          <w:b/>
          <w:sz w:val="21"/>
          <w:szCs w:val="21"/>
        </w:rPr>
        <w:t>■</w:t>
      </w:r>
      <w:bookmarkEnd w:id="8"/>
      <w:r>
        <w:rPr>
          <w:rFonts w:hint="eastAsia"/>
          <w:b/>
          <w:sz w:val="21"/>
          <w:szCs w:val="21"/>
        </w:rPr>
        <w:t>受审核方管理体系文件</w:t>
      </w:r>
    </w:p>
    <w:p>
      <w:pPr>
        <w:keepNext w:val="0"/>
        <w:keepLines w:val="0"/>
        <w:pageBreakBefore w:val="0"/>
        <w:widowControl w:val="0"/>
        <w:tabs>
          <w:tab w:val="left" w:pos="645"/>
        </w:tabs>
        <w:kinsoku/>
        <w:wordWrap/>
        <w:overflowPunct/>
        <w:topLinePunct w:val="0"/>
        <w:autoSpaceDE/>
        <w:autoSpaceDN/>
        <w:bidi w:val="0"/>
        <w:adjustRightInd/>
        <w:snapToGrid/>
        <w:spacing w:line="360" w:lineRule="exact"/>
        <w:textAlignment w:val="auto"/>
        <w:rPr>
          <w:rFonts w:hint="eastAsia"/>
          <w:b/>
          <w:sz w:val="21"/>
          <w:szCs w:val="21"/>
        </w:rPr>
      </w:pPr>
      <w:r>
        <w:rPr>
          <w:rFonts w:hint="eastAsia"/>
          <w:b/>
          <w:sz w:val="21"/>
          <w:szCs w:val="21"/>
        </w:rPr>
        <w:t>■适用的法律法规</w:t>
      </w:r>
    </w:p>
    <w:p>
      <w:pPr>
        <w:tabs>
          <w:tab w:val="left" w:pos="645"/>
        </w:tabs>
        <w:rPr>
          <w:rFonts w:hint="eastAsia"/>
          <w:b/>
          <w:sz w:val="26"/>
          <w:szCs w:val="26"/>
        </w:rPr>
      </w:pPr>
    </w:p>
    <w:p>
      <w:pPr>
        <w:numPr>
          <w:ilvl w:val="0"/>
          <w:numId w:val="1"/>
        </w:numPr>
        <w:tabs>
          <w:tab w:val="left" w:pos="645"/>
        </w:tabs>
        <w:rPr>
          <w:rFonts w:hint="eastAsia"/>
          <w:b/>
          <w:sz w:val="26"/>
          <w:szCs w:val="26"/>
        </w:rPr>
      </w:pPr>
      <w:r>
        <w:rPr>
          <w:rFonts w:hint="eastAsia"/>
          <w:b/>
          <w:sz w:val="26"/>
          <w:szCs w:val="26"/>
        </w:rPr>
        <w:t>受审核方基本信息</w:t>
      </w:r>
    </w:p>
    <w:p>
      <w:pPr>
        <w:numPr>
          <w:numId w:val="0"/>
        </w:numPr>
        <w:tabs>
          <w:tab w:val="left" w:pos="645"/>
        </w:tabs>
        <w:rPr>
          <w:rFonts w:hint="eastAsia"/>
          <w:b/>
          <w:sz w:val="26"/>
          <w:szCs w:val="26"/>
        </w:rPr>
      </w:pP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1517"/>
        <w:gridCol w:w="1281"/>
        <w:gridCol w:w="1495"/>
        <w:gridCol w:w="179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color w:val="auto"/>
                <w:sz w:val="16"/>
                <w:szCs w:val="16"/>
              </w:rPr>
            </w:pPr>
            <w:r>
              <w:rPr>
                <w:rFonts w:hint="eastAsia" w:ascii="宋体" w:hAnsi="宋体"/>
                <w:b/>
                <w:color w:val="auto"/>
                <w:sz w:val="21"/>
              </w:rPr>
              <w:t>受审核方名称</w:t>
            </w:r>
          </w:p>
        </w:tc>
        <w:tc>
          <w:tcPr>
            <w:tcW w:w="429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饶阳县路胜铁路信号器材有限公司</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r>
              <w:rPr>
                <w:rFonts w:hint="eastAsia" w:ascii="宋体" w:hAnsi="宋体"/>
                <w:b/>
                <w:color w:val="auto"/>
                <w:sz w:val="21"/>
              </w:rPr>
              <w:t>组织人数及</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b/>
                <w:color w:val="auto"/>
                <w:spacing w:val="-20"/>
              </w:rPr>
            </w:pPr>
            <w:r>
              <w:rPr>
                <w:rFonts w:hint="eastAsia" w:ascii="宋体" w:hAnsi="宋体"/>
                <w:b/>
                <w:color w:val="auto"/>
                <w:sz w:val="21"/>
              </w:rPr>
              <w:t>变动情况核实</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eastAsia="宋体"/>
                <w:b/>
                <w:color w:val="auto"/>
                <w:sz w:val="21"/>
                <w:lang w:val="en-US" w:eastAsia="zh-CN"/>
              </w:rPr>
            </w:pPr>
            <w:r>
              <w:rPr>
                <w:rFonts w:hint="eastAsia" w:ascii="宋体"/>
                <w:b/>
                <w:color w:val="auto"/>
                <w:sz w:val="21"/>
                <w:lang w:val="en-US" w:eastAsia="zh-CN"/>
              </w:rPr>
              <w:t>25无变化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16"/>
                <w:szCs w:val="16"/>
              </w:rPr>
            </w:pPr>
            <w:r>
              <w:rPr>
                <w:rFonts w:hint="eastAsia" w:ascii="宋体" w:hAnsi="宋体"/>
                <w:b/>
                <w:color w:val="auto"/>
                <w:sz w:val="21"/>
                <w:szCs w:val="21"/>
              </w:rPr>
              <w:t>注册地址</w:t>
            </w:r>
          </w:p>
        </w:tc>
        <w:tc>
          <w:tcPr>
            <w:tcW w:w="429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饶阳县北官庄村村北工业区</w:t>
            </w:r>
          </w:p>
        </w:tc>
        <w:tc>
          <w:tcPr>
            <w:tcW w:w="179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r>
              <w:rPr>
                <w:rFonts w:hint="eastAsia" w:ascii="宋体" w:hAnsi="宋体"/>
                <w:b/>
                <w:color w:val="auto"/>
                <w:sz w:val="21"/>
              </w:rPr>
              <w:t>邮编</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color w:val="auto"/>
                <w:sz w:val="21"/>
                <w:szCs w:val="21"/>
              </w:rPr>
            </w:pPr>
            <w:r>
              <w:rPr>
                <w:rFonts w:hint="eastAsia" w:ascii="宋体" w:hAnsi="宋体"/>
                <w:b/>
                <w:color w:val="auto"/>
                <w:sz w:val="21"/>
                <w:szCs w:val="21"/>
              </w:rPr>
              <w:t>经营地址</w:t>
            </w:r>
          </w:p>
        </w:tc>
        <w:tc>
          <w:tcPr>
            <w:tcW w:w="429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饶阳县北官庄村村北工业区</w:t>
            </w:r>
          </w:p>
        </w:tc>
        <w:tc>
          <w:tcPr>
            <w:tcW w:w="179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color w:val="auto"/>
                <w:sz w:val="21"/>
                <w:szCs w:val="21"/>
              </w:rPr>
            </w:pPr>
            <w:r>
              <w:rPr>
                <w:rFonts w:hint="eastAsia" w:ascii="宋体" w:hAnsi="宋体"/>
                <w:b/>
                <w:color w:val="auto"/>
                <w:sz w:val="21"/>
                <w:szCs w:val="21"/>
              </w:rPr>
              <w:t>生产地址</w:t>
            </w:r>
          </w:p>
        </w:tc>
        <w:tc>
          <w:tcPr>
            <w:tcW w:w="429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饶阳县北官庄村村北工业区</w:t>
            </w:r>
          </w:p>
        </w:tc>
        <w:tc>
          <w:tcPr>
            <w:tcW w:w="179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b/>
                <w:color w:val="auto"/>
                <w:sz w:val="21"/>
              </w:rPr>
            </w:pPr>
            <w:r>
              <w:rPr>
                <w:rFonts w:hint="eastAsia" w:ascii="宋体" w:hAnsi="宋体"/>
                <w:b/>
                <w:color w:val="auto"/>
                <w:sz w:val="21"/>
              </w:rPr>
              <w:t>联系人</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孙红丹</w:t>
            </w:r>
          </w:p>
        </w:tc>
        <w:tc>
          <w:tcPr>
            <w:tcW w:w="12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r>
              <w:rPr>
                <w:rFonts w:hint="eastAsia" w:ascii="宋体" w:hAnsi="宋体"/>
                <w:b/>
                <w:color w:val="auto"/>
                <w:sz w:val="21"/>
              </w:rPr>
              <w:t>电话</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r>
              <w:rPr>
                <w:rFonts w:hint="eastAsia"/>
                <w:sz w:val="21"/>
              </w:rPr>
              <w:t>13131882777</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r>
              <w:rPr>
                <w:rFonts w:hint="eastAsia" w:ascii="宋体" w:hAnsi="宋体"/>
                <w:b/>
                <w:color w:val="auto"/>
                <w:sz w:val="21"/>
              </w:rPr>
              <w:t>传真</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b/>
                <w:color w:val="auto"/>
                <w:sz w:val="21"/>
              </w:rPr>
            </w:pPr>
            <w:bookmarkStart w:id="9" w:name="联系人传真"/>
            <w:bookmarkEnd w:id="9"/>
            <w:bookmarkStart w:id="10" w:name="联系人电话"/>
            <w:r>
              <w:rPr>
                <w:sz w:val="20"/>
              </w:rPr>
              <w:t>0318-7252274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 w:val="21"/>
                <w:szCs w:val="21"/>
              </w:rPr>
            </w:pPr>
            <w:r>
              <w:rPr>
                <w:rFonts w:hint="eastAsia" w:ascii="宋体" w:hAnsi="宋体"/>
                <w:b/>
                <w:color w:val="auto"/>
                <w:sz w:val="21"/>
                <w:szCs w:val="21"/>
              </w:rPr>
              <w:t>法人代表</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auto"/>
                <w:sz w:val="21"/>
                <w:szCs w:val="21"/>
                <w:lang w:eastAsia="zh-CN"/>
              </w:rPr>
            </w:pPr>
            <w:r>
              <w:rPr>
                <w:rFonts w:hint="eastAsia" w:ascii="宋体" w:hAnsi="宋体"/>
                <w:b/>
                <w:color w:val="auto"/>
                <w:sz w:val="21"/>
                <w:szCs w:val="21"/>
                <w:lang w:eastAsia="zh-CN"/>
              </w:rPr>
              <w:t>张集体</w:t>
            </w:r>
          </w:p>
        </w:tc>
        <w:tc>
          <w:tcPr>
            <w:tcW w:w="12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rPr>
              <w:t>总经理</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auto"/>
                <w:sz w:val="21"/>
                <w:szCs w:val="21"/>
                <w:lang w:eastAsia="zh-CN"/>
              </w:rPr>
            </w:pPr>
            <w:r>
              <w:rPr>
                <w:rFonts w:hint="eastAsia" w:ascii="宋体" w:hAnsi="宋体"/>
                <w:b/>
                <w:color w:val="auto"/>
                <w:sz w:val="21"/>
                <w:szCs w:val="21"/>
                <w:lang w:eastAsia="zh-CN"/>
              </w:rPr>
              <w:t>张集体</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rPr>
              <w:t>管理者代表</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eastAsia="宋体"/>
                <w:b/>
                <w:color w:val="auto"/>
                <w:sz w:val="21"/>
                <w:lang w:eastAsia="zh-CN"/>
              </w:rPr>
            </w:pPr>
            <w:r>
              <w:rPr>
                <w:rFonts w:hint="eastAsia" w:ascii="宋体"/>
                <w:b/>
                <w:color w:val="auto"/>
                <w:sz w:val="21"/>
                <w:lang w:eastAsia="zh-CN"/>
              </w:rPr>
              <w:t>孙红丹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 w:val="21"/>
                <w:szCs w:val="21"/>
              </w:rPr>
            </w:pPr>
            <w:r>
              <w:rPr>
                <w:rFonts w:hint="eastAsia" w:ascii="宋体" w:hAnsi="宋体"/>
                <w:b/>
                <w:color w:val="auto"/>
                <w:sz w:val="21"/>
                <w:szCs w:val="21"/>
              </w:rPr>
              <w:t>审核日期</w:t>
            </w:r>
          </w:p>
        </w:tc>
        <w:tc>
          <w:tcPr>
            <w:tcW w:w="279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bookmarkStart w:id="11" w:name="审核日期"/>
            <w:r>
              <w:rPr>
                <w:rFonts w:ascii="宋体" w:hAnsi="宋体"/>
                <w:b/>
                <w:color w:val="auto"/>
                <w:sz w:val="21"/>
                <w:szCs w:val="21"/>
              </w:rPr>
              <w:t>202</w:t>
            </w:r>
            <w:r>
              <w:rPr>
                <w:rFonts w:hint="eastAsia" w:ascii="宋体" w:hAnsi="宋体"/>
                <w:b/>
                <w:color w:val="auto"/>
                <w:sz w:val="21"/>
                <w:szCs w:val="21"/>
                <w:lang w:val="en-US" w:eastAsia="zh-CN"/>
              </w:rPr>
              <w:t>1</w:t>
            </w:r>
            <w:r>
              <w:rPr>
                <w:rFonts w:ascii="宋体" w:hAnsi="宋体"/>
                <w:b/>
                <w:color w:val="auto"/>
                <w:sz w:val="21"/>
                <w:szCs w:val="21"/>
              </w:rPr>
              <w:t>年05月</w:t>
            </w:r>
            <w:r>
              <w:rPr>
                <w:rFonts w:hint="eastAsia" w:ascii="宋体" w:hAnsi="宋体"/>
                <w:b/>
                <w:color w:val="auto"/>
                <w:sz w:val="21"/>
                <w:szCs w:val="21"/>
                <w:lang w:val="en-US" w:eastAsia="zh-CN"/>
              </w:rPr>
              <w:t>15-16</w:t>
            </w:r>
            <w:r>
              <w:rPr>
                <w:rFonts w:ascii="宋体" w:hAnsi="宋体"/>
                <w:b/>
                <w:color w:val="auto"/>
                <w:sz w:val="21"/>
                <w:szCs w:val="21"/>
              </w:rPr>
              <w:t xml:space="preserve">日 </w:t>
            </w:r>
            <w:bookmarkEnd w:id="11"/>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rPr>
              <w:t>一体化审核</w:t>
            </w:r>
          </w:p>
        </w:tc>
        <w:tc>
          <w:tcPr>
            <w:tcW w:w="3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lang w:eastAsia="zh-CN"/>
              </w:rPr>
              <w:t>☑</w:t>
            </w:r>
            <w:r>
              <w:rPr>
                <w:rFonts w:hint="eastAsia" w:ascii="宋体" w:hAnsi="宋体"/>
                <w:b/>
                <w:color w:val="auto"/>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auto"/>
                <w:sz w:val="21"/>
                <w:szCs w:val="21"/>
              </w:rPr>
            </w:pPr>
            <w:r>
              <w:rPr>
                <w:rFonts w:hint="eastAsia" w:ascii="宋体" w:hAnsi="宋体"/>
                <w:b/>
                <w:color w:val="auto"/>
                <w:sz w:val="21"/>
                <w:szCs w:val="21"/>
              </w:rPr>
              <w:t>产品</w:t>
            </w:r>
            <w:r>
              <w:rPr>
                <w:rFonts w:ascii="宋体" w:hAnsi="宋体"/>
                <w:b/>
                <w:color w:val="auto"/>
                <w:sz w:val="21"/>
                <w:szCs w:val="21"/>
              </w:rPr>
              <w:t>/</w:t>
            </w:r>
            <w:r>
              <w:rPr>
                <w:rFonts w:hint="eastAsia" w:ascii="宋体" w:hAnsi="宋体"/>
                <w:b/>
                <w:color w:val="auto"/>
                <w:sz w:val="21"/>
                <w:szCs w:val="21"/>
              </w:rPr>
              <w:t>服务认证范围</w:t>
            </w:r>
          </w:p>
        </w:tc>
        <w:tc>
          <w:tcPr>
            <w:tcW w:w="7588" w:type="dxa"/>
            <w:gridSpan w:val="5"/>
            <w:vAlign w:val="center"/>
          </w:tcPr>
          <w:p>
            <w:pPr>
              <w:rPr>
                <w:sz w:val="20"/>
              </w:rPr>
            </w:pPr>
            <w:bookmarkStart w:id="12" w:name="审核范围"/>
            <w:r>
              <w:rPr>
                <w:sz w:val="20"/>
              </w:rPr>
              <w:t>O：铁路专用连接线、电容防护盒、调谐设备基础防护装置、电缆槽的生产和补偿电容的销售所涉及的相关职业健康安全管理活动</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0"/>
              </w:rPr>
            </w:pPr>
            <w:r>
              <w:rPr>
                <w:sz w:val="20"/>
              </w:rPr>
              <w:t>E：铁路专用连接线、电容防护盒、调谐设备基础防护装置、电缆槽的生产和补偿电容的销售所涉及的相关环境管理活动</w:t>
            </w:r>
            <w:bookmarkEnd w:id="12"/>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eastAsia="宋体"/>
                <w:sz w:val="20"/>
                <w:lang w:val="en-US" w:eastAsia="zh-CN"/>
              </w:rPr>
            </w:pPr>
            <w:r>
              <w:rPr>
                <w:rFonts w:hint="eastAsia"/>
                <w:sz w:val="20"/>
                <w:lang w:val="en-US" w:eastAsia="zh-CN"/>
              </w:rPr>
              <w:t>Q：</w:t>
            </w:r>
            <w:r>
              <w:rPr>
                <w:sz w:val="20"/>
              </w:rPr>
              <w:t>铁路专用连接线、电容防护盒、调谐设备基础防护装置、电缆槽的生产和补偿电容的销售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rPr>
              <w:t>是否要求变更</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rPr>
              <w:t>□是</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lang w:eastAsia="zh-CN"/>
              </w:rPr>
              <w:t>☑</w:t>
            </w:r>
            <w:r>
              <w:rPr>
                <w:rFonts w:hint="eastAsia" w:ascii="宋体" w:hAnsi="宋体"/>
                <w:b/>
                <w:color w:val="auto"/>
                <w:sz w:val="21"/>
                <w:szCs w:val="21"/>
              </w:rPr>
              <w:t>否</w:t>
            </w:r>
          </w:p>
        </w:tc>
        <w:tc>
          <w:tcPr>
            <w:tcW w:w="277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b/>
                <w:color w:val="auto"/>
                <w:sz w:val="21"/>
                <w:szCs w:val="21"/>
              </w:rPr>
            </w:pPr>
            <w:r>
              <w:rPr>
                <w:rFonts w:hint="eastAsia" w:ascii="宋体" w:hAnsi="宋体"/>
                <w:b/>
                <w:color w:val="auto"/>
                <w:sz w:val="21"/>
                <w:szCs w:val="21"/>
              </w:rPr>
              <w:t>变更的认证范围</w:t>
            </w:r>
            <w:r>
              <w:rPr>
                <w:rFonts w:ascii="宋体" w:hAnsi="宋体"/>
                <w:b/>
                <w:color w:val="auto"/>
                <w:sz w:val="21"/>
                <w:szCs w:val="21"/>
              </w:rPr>
              <w:t xml:space="preserve">: </w:t>
            </w:r>
          </w:p>
        </w:tc>
        <w:tc>
          <w:tcPr>
            <w:tcW w:w="32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rPr>
              <w:t>专业代码</w:t>
            </w:r>
          </w:p>
        </w:tc>
        <w:tc>
          <w:tcPr>
            <w:tcW w:w="151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auto"/>
                <w:sz w:val="21"/>
                <w:szCs w:val="21"/>
                <w:lang w:eastAsia="zh-CN"/>
              </w:rPr>
            </w:pPr>
            <w:bookmarkStart w:id="13" w:name="专业代码"/>
            <w:r>
              <w:rPr>
                <w:rFonts w:hint="eastAsia" w:ascii="宋体" w:hAnsi="宋体"/>
                <w:b/>
                <w:color w:val="auto"/>
                <w:sz w:val="21"/>
                <w:szCs w:val="21"/>
                <w:lang w:eastAsia="zh-CN"/>
              </w:rPr>
              <w:t>17.12.05,19.11.02,19.11.03,29.12.00</w:t>
            </w:r>
            <w:bookmarkEnd w:id="13"/>
          </w:p>
        </w:tc>
        <w:tc>
          <w:tcPr>
            <w:tcW w:w="128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rPr>
              <w:t>证书有效期</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2021.11.28</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auto"/>
                <w:sz w:val="21"/>
                <w:szCs w:val="21"/>
              </w:rPr>
            </w:pPr>
            <w:r>
              <w:rPr>
                <w:rFonts w:hint="eastAsia" w:ascii="宋体" w:hAnsi="宋体"/>
                <w:b/>
                <w:color w:val="auto"/>
                <w:sz w:val="21"/>
                <w:szCs w:val="21"/>
              </w:rPr>
              <w:t>上年度审核日期</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eastAsia="宋体"/>
                <w:b/>
                <w:color w:val="auto"/>
                <w:sz w:val="21"/>
                <w:lang w:val="en-US" w:eastAsia="zh-CN"/>
              </w:rPr>
            </w:pPr>
            <w:r>
              <w:rPr>
                <w:rFonts w:hint="eastAsia" w:ascii="宋体" w:hAnsi="宋体" w:cs="Times New Roman"/>
                <w:b/>
                <w:color w:val="auto"/>
                <w:sz w:val="21"/>
                <w:szCs w:val="21"/>
              </w:rPr>
              <w:t>20</w:t>
            </w:r>
            <w:r>
              <w:rPr>
                <w:rFonts w:hint="eastAsia" w:ascii="宋体" w:hAnsi="宋体" w:cs="Times New Roman"/>
                <w:b/>
                <w:color w:val="auto"/>
                <w:sz w:val="21"/>
                <w:szCs w:val="21"/>
                <w:lang w:val="en-US" w:eastAsia="zh-CN"/>
              </w:rPr>
              <w:t>20.5.26-27</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eastAsia="宋体"/>
          <w:b/>
          <w:spacing w:val="-6"/>
          <w:sz w:val="16"/>
          <w:szCs w:val="16"/>
          <w:lang w:eastAsia="zh-CN"/>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铁路专用连接线、电容防护盒、调谐设备基础防护装置、电缆槽的生产和补偿电容的销售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rPr>
              <w:t>公司确定了与</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w:t>
            </w:r>
            <w:r>
              <w:rPr>
                <w:rFonts w:hint="eastAsia"/>
                <w:sz w:val="21"/>
                <w:szCs w:val="21"/>
                <w:lang w:eastAsia="zh-CN"/>
              </w:rPr>
              <w:t>，</w:t>
            </w:r>
            <w:r>
              <w:rPr>
                <w:rFonts w:hint="eastAsia"/>
                <w:sz w:val="21"/>
                <w:szCs w:val="21"/>
              </w:rPr>
              <w:t>对环境无重大污染、</w:t>
            </w:r>
            <w:r>
              <w:rPr>
                <w:rFonts w:hint="eastAsia"/>
                <w:sz w:val="21"/>
                <w:szCs w:val="21"/>
                <w:lang w:val="en-US" w:eastAsia="zh-CN"/>
              </w:rPr>
              <w:t>对人员无重大伤害，</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管理</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1"/>
                <w:szCs w:val="21"/>
                <w:lang w:val="en-US" w:eastAsia="zh-CN"/>
              </w:rPr>
            </w:pPr>
            <w:r>
              <w:rPr>
                <w:sz w:val="21"/>
                <w:szCs w:val="21"/>
              </w:rPr>
              <w:t>1.</w:t>
            </w:r>
            <w:r>
              <w:rPr>
                <w:rFonts w:hint="eastAsia" w:cs="宋体"/>
                <w:sz w:val="21"/>
                <w:szCs w:val="21"/>
              </w:rPr>
              <w:t>管理方针：</w:t>
            </w:r>
            <w:r>
              <w:rPr>
                <w:rFonts w:hint="eastAsia"/>
                <w:sz w:val="21"/>
                <w:szCs w:val="21"/>
              </w:rPr>
              <w:t>科学管理，遵守法规，预防污染，持续改进，为社会及员工提供一个健康、安全的工作生活环境，提供用户满意的优质产品，创国内一流品牌</w:t>
            </w:r>
            <w:r>
              <w:rPr>
                <w:rFonts w:hint="eastAsia" w:ascii="Times New Roman" w:hAnsi="Times New Roman" w:cs="Times New Roman"/>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2.</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sz w:val="21"/>
                <w:szCs w:val="21"/>
              </w:rPr>
              <w:t>3.</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sz w:val="21"/>
                <w:szCs w:val="21"/>
              </w:rPr>
            </w:pPr>
            <w:r>
              <w:rPr>
                <w:rFonts w:hint="eastAsia"/>
                <w:b/>
                <w:color w:val="000000" w:themeColor="text1"/>
                <w:sz w:val="21"/>
                <w:szCs w:val="21"/>
                <w:lang w:val="en-US" w:eastAsia="zh-CN"/>
              </w:rPr>
              <w:t>4.</w:t>
            </w:r>
            <w:r>
              <w:rPr>
                <w:rFonts w:hint="eastAsia"/>
                <w:b/>
                <w:color w:val="000000" w:themeColor="text1"/>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sz w:val="21"/>
                <w:szCs w:val="21"/>
                <w:lang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w:t>
            </w: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分别从顾客过程、公司内部、外部供方、外部环境等方面</w:t>
            </w:r>
            <w:r>
              <w:rPr>
                <w:rFonts w:hint="eastAsia" w:ascii="Times New Roman" w:hAnsi="Times New Roman" w:cs="Times New Roman"/>
                <w:sz w:val="21"/>
                <w:szCs w:val="21"/>
                <w:u w:val="none"/>
              </w:rPr>
              <w:t>识别了必要的风险和机遇，如：方针和目标变更的需求，</w:t>
            </w:r>
            <w:r>
              <w:rPr>
                <w:rFonts w:hint="eastAsia" w:cs="Times New Roman"/>
                <w:sz w:val="21"/>
                <w:szCs w:val="21"/>
                <w:u w:val="none"/>
                <w:lang w:val="en-US" w:eastAsia="zh-CN"/>
              </w:rPr>
              <w:t>产品</w:t>
            </w:r>
            <w:r>
              <w:rPr>
                <w:rFonts w:hint="eastAsia" w:ascii="Times New Roman" w:hAnsi="Times New Roman" w:cs="Times New Roman"/>
                <w:sz w:val="21"/>
                <w:szCs w:val="21"/>
                <w:u w:val="none"/>
              </w:rPr>
              <w:t>标准变更，原材料变更，工艺变更</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法律法规变更、外部环境（包括空气 水的变化）</w:t>
            </w:r>
            <w:r>
              <w:rPr>
                <w:rFonts w:hint="eastAsia" w:ascii="Times New Roman" w:hAnsi="Times New Roman" w:cs="Times New Roman"/>
                <w:sz w:val="21"/>
                <w:szCs w:val="21"/>
                <w:u w:val="none"/>
              </w:rPr>
              <w:t>等风险，制定了相应的应对措施，制定了负责的部门和具体的实施方案，需要的资金和日程安排</w:t>
            </w:r>
            <w:r>
              <w:rPr>
                <w:rFonts w:hint="eastAsia" w:ascii="Times New Roman" w:hAnsi="Times New Roman" w:cs="Times New Roman"/>
                <w:sz w:val="21"/>
                <w:szCs w:val="21"/>
                <w:u w:val="none"/>
                <w:lang w:val="en-US" w:eastAsia="zh-CN"/>
              </w:rPr>
              <w:t>等，</w:t>
            </w:r>
            <w:r>
              <w:rPr>
                <w:rFonts w:hint="eastAsia" w:ascii="Times New Roman" w:hAnsi="Times New Roman" w:cs="Times New Roman"/>
                <w:sz w:val="21"/>
                <w:szCs w:val="21"/>
                <w:u w:val="none"/>
              </w:rPr>
              <w:t>如针对</w:t>
            </w:r>
            <w:r>
              <w:rPr>
                <w:rFonts w:hint="eastAsia" w:ascii="Times New Roman" w:hAnsi="Times New Roman" w:cs="Times New Roman"/>
                <w:sz w:val="21"/>
                <w:szCs w:val="21"/>
                <w:u w:val="none"/>
                <w:lang w:val="en-US" w:eastAsia="zh-CN"/>
              </w:rPr>
              <w:t>法律法规</w:t>
            </w:r>
            <w:r>
              <w:rPr>
                <w:rFonts w:hint="eastAsia" w:ascii="Times New Roman" w:hAnsi="Times New Roman" w:cs="Times New Roman"/>
                <w:sz w:val="21"/>
                <w:szCs w:val="21"/>
                <w:u w:val="none"/>
              </w:rPr>
              <w:t>的变更，由</w:t>
            </w:r>
            <w:r>
              <w:rPr>
                <w:rFonts w:hint="eastAsia" w:ascii="Times New Roman" w:hAnsi="Times New Roman" w:cs="Times New Roman"/>
                <w:sz w:val="21"/>
                <w:szCs w:val="21"/>
                <w:u w:val="none"/>
                <w:lang w:val="en-US" w:eastAsia="zh-CN"/>
              </w:rPr>
              <w:t>办公室</w:t>
            </w:r>
            <w:r>
              <w:rPr>
                <w:rFonts w:hint="eastAsia" w:ascii="Times New Roman" w:hAnsi="Times New Roman" w:cs="Times New Roman"/>
                <w:sz w:val="21"/>
                <w:szCs w:val="21"/>
                <w:u w:val="none"/>
                <w:lang w:eastAsia="zh-CN"/>
              </w:rPr>
              <w:t>紧密与</w:t>
            </w:r>
            <w:r>
              <w:rPr>
                <w:rFonts w:hint="eastAsia" w:ascii="Times New Roman" w:hAnsi="Times New Roman" w:cs="Times New Roman"/>
                <w:sz w:val="21"/>
                <w:szCs w:val="21"/>
                <w:u w:val="none"/>
                <w:lang w:val="en-US" w:eastAsia="zh-CN"/>
              </w:rPr>
              <w:t>行政部门</w:t>
            </w:r>
            <w:r>
              <w:rPr>
                <w:rFonts w:hint="eastAsia" w:ascii="Times New Roman" w:hAnsi="Times New Roman" w:cs="Times New Roman"/>
                <w:sz w:val="21"/>
                <w:szCs w:val="21"/>
                <w:u w:val="none"/>
                <w:lang w:eastAsia="zh-CN"/>
              </w:rPr>
              <w:t>沟通</w:t>
            </w:r>
            <w:r>
              <w:rPr>
                <w:rFonts w:hint="eastAsia" w:ascii="Times New Roman" w:hAnsi="Times New Roman" w:cs="Times New Roman"/>
                <w:sz w:val="21"/>
                <w:szCs w:val="21"/>
                <w:u w:val="none"/>
              </w:rPr>
              <w:t>，是否有更新的需求</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经查</w:t>
            </w:r>
            <w:r>
              <w:rPr>
                <w:rFonts w:hint="eastAsia" w:ascii="Times New Roman" w:hAnsi="Times New Roman" w:cs="Times New Roman"/>
                <w:sz w:val="21"/>
                <w:szCs w:val="21"/>
                <w:u w:val="none"/>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采购、销售、生产、产品检验</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焊接、注塑</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1"/>
                <w:szCs w:val="21"/>
              </w:rPr>
            </w:pP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u w:val="single"/>
              </w:rPr>
              <w:t xml:space="preserve">    </w:t>
            </w:r>
            <w:r>
              <w:rPr>
                <w:rFonts w:hint="default" w:ascii="Times New Roman" w:hAnsi="Times New Roman" w:cs="Times New Roman"/>
                <w:b w:val="0"/>
                <w:bCs/>
                <w:color w:val="000000" w:themeColor="text1"/>
                <w:sz w:val="21"/>
                <w:szCs w:val="21"/>
                <w:u w:val="single"/>
                <w:lang w:val="en-US" w:eastAsia="zh-CN"/>
              </w:rPr>
              <w:t>8.3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产品依据国标、行业标准、客户要求进行生产，工艺成熟稳定，无设计开发要求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ascii="宋体" w:hAnsi="宋体"/>
                <w:sz w:val="21"/>
                <w:szCs w:val="21"/>
                <w:lang w:val="en-US" w:eastAsia="zh-CN"/>
              </w:rPr>
              <w:t>办公室组织进行了环境因素识别评价，并评价出重要环境因素，提供环境因素评价记录，目前环境因素识别基本完整，评价的重要环境因素为</w:t>
            </w:r>
            <w:r>
              <w:rPr>
                <w:rFonts w:hint="eastAsia"/>
                <w:sz w:val="21"/>
                <w:szCs w:val="21"/>
                <w:lang w:val="en-US" w:eastAsia="zh-CN"/>
              </w:rPr>
              <w:t>废气的排放</w:t>
            </w:r>
            <w:r>
              <w:rPr>
                <w:rFonts w:hint="eastAsia"/>
                <w:sz w:val="21"/>
                <w:szCs w:val="21"/>
              </w:rPr>
              <w:t>、固体废弃物排放、噪声排放、意外火灾的发生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1"/>
                <w:szCs w:val="21"/>
                <w:lang w:eastAsia="zh-CN"/>
              </w:rPr>
            </w:pPr>
            <w:r>
              <w:rPr>
                <w:rFonts w:hint="eastAsia" w:ascii="宋体" w:hAnsi="宋体"/>
                <w:sz w:val="21"/>
                <w:szCs w:val="21"/>
                <w:lang w:val="en-US" w:eastAsia="zh-CN"/>
              </w:rPr>
              <w:t>办公室组织进行了危险源进行识别评价，并评价出重大危险源，提供重大危险源评价记录，目前危险源识别基本完整，评价的</w:t>
            </w:r>
            <w:r>
              <w:rPr>
                <w:rFonts w:hint="eastAsia"/>
                <w:sz w:val="21"/>
                <w:szCs w:val="21"/>
              </w:rPr>
              <w:t>不可接受风险</w:t>
            </w:r>
            <w:r>
              <w:rPr>
                <w:rFonts w:hint="eastAsia"/>
                <w:sz w:val="21"/>
                <w:szCs w:val="21"/>
                <w:lang w:eastAsia="zh-CN"/>
              </w:rPr>
              <w:t>为</w:t>
            </w:r>
            <w:r>
              <w:rPr>
                <w:rFonts w:hint="eastAsia"/>
                <w:sz w:val="21"/>
                <w:szCs w:val="21"/>
              </w:rPr>
              <w:t>火灾、触电、</w:t>
            </w:r>
            <w:r>
              <w:rPr>
                <w:rFonts w:hint="eastAsia"/>
                <w:sz w:val="21"/>
                <w:szCs w:val="21"/>
                <w:lang w:val="en-US" w:eastAsia="zh-CN"/>
              </w:rPr>
              <w:t>烫伤、</w:t>
            </w:r>
            <w:r>
              <w:rPr>
                <w:rFonts w:hint="eastAsia"/>
                <w:sz w:val="21"/>
                <w:szCs w:val="21"/>
              </w:rPr>
              <w:t>机械伤害、噪声伤害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1"/>
                <w:szCs w:val="21"/>
                <w:u w:val="single"/>
              </w:rPr>
            </w:pPr>
            <w:r>
              <w:rPr>
                <w:rFonts w:hint="eastAsia" w:ascii="宋体" w:hAnsi="宋体"/>
                <w:b w:val="0"/>
                <w:bCs/>
                <w:color w:val="000000" w:themeColor="text1"/>
                <w:sz w:val="21"/>
                <w:szCs w:val="21"/>
              </w:rPr>
              <w:t>获取法律法规项，</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法律法规获取充分，□法律法规获取有遗漏，缺少</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1"/>
                <w:szCs w:val="21"/>
              </w:rPr>
            </w:pPr>
            <w:r>
              <w:rPr>
                <w:rFonts w:hint="eastAsia" w:ascii="宋体" w:hAnsi="宋体"/>
                <w:b w:val="0"/>
                <w:bCs/>
                <w:color w:val="000000" w:themeColor="text1"/>
                <w:sz w:val="21"/>
                <w:szCs w:val="21"/>
              </w:rPr>
              <w:t>结合公司的</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产品/服务</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环境因素</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危险源，</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确定 □未确定法律法规要求的具体条款，</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 w:val="21"/>
                <w:szCs w:val="21"/>
              </w:rPr>
            </w:pPr>
            <w:r>
              <w:rPr>
                <w:rFonts w:hint="eastAsia" w:ascii="宋体" w:hAnsi="宋体"/>
                <w:b w:val="0"/>
                <w:bCs/>
                <w:color w:val="000000" w:themeColor="text1"/>
                <w:sz w:val="21"/>
                <w:szCs w:val="21"/>
              </w:rPr>
              <w:t>法律法规的宣传方式：</w:t>
            </w:r>
            <w:r>
              <w:rPr>
                <w:rFonts w:hint="eastAsia" w:ascii="宋体" w:hAnsi="宋体"/>
                <w:b w:val="0"/>
                <w:bCs/>
                <w:color w:val="000000" w:themeColor="text1"/>
                <w:sz w:val="21"/>
                <w:szCs w:val="21"/>
                <w:lang w:val="en-US" w:eastAsia="zh-CN"/>
              </w:rPr>
              <w:t>培训</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 w:val="21"/>
                <w:szCs w:val="21"/>
              </w:rPr>
              <w:t>法律法规要求及时更新了</w:t>
            </w:r>
            <w:r>
              <w:rPr>
                <w:rFonts w:hint="eastAsia" w:ascii="宋体" w:hAnsi="宋体"/>
                <w:b w:val="0"/>
                <w:bCs/>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rPr>
              <w:t>目标、方案</w:t>
            </w: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sz w:val="21"/>
                <w:szCs w:val="21"/>
              </w:rPr>
            </w:pPr>
            <w:r>
              <w:rPr>
                <w:rFonts w:hint="eastAsia" w:cs="宋体"/>
                <w:sz w:val="21"/>
                <w:szCs w:val="21"/>
              </w:rPr>
              <w:t>公司目标</w:t>
            </w:r>
            <w:r>
              <w:rPr>
                <w:rFonts w:hint="eastAsia" w:cs="宋体"/>
                <w:sz w:val="21"/>
                <w:szCs w:val="21"/>
                <w:lang w:eastAsia="zh-CN"/>
              </w:rPr>
              <w:t>：</w:t>
            </w:r>
            <w:r>
              <w:rPr>
                <w:rFonts w:hint="eastAsia" w:ascii="宋体" w:cs="宋体"/>
                <w:color w:val="auto"/>
                <w:sz w:val="21"/>
                <w:szCs w:val="21"/>
                <w:lang w:eastAsia="zh-CN"/>
              </w:rPr>
              <w:t>产品交付一次合格率≥95%；顾客满意率≥95%；</w:t>
            </w:r>
            <w:r>
              <w:rPr>
                <w:rFonts w:hint="eastAsia"/>
                <w:sz w:val="21"/>
                <w:szCs w:val="21"/>
              </w:rPr>
              <w:t>固废分类处置率100%；轻伤事故少于3起/年；无火灾及重大安全事故发生</w:t>
            </w:r>
            <w:r>
              <w:rPr>
                <w:rFonts w:hint="eastAsia"/>
                <w:sz w:val="21"/>
                <w:szCs w:val="21"/>
                <w:lang w:eastAsia="zh-CN"/>
              </w:rPr>
              <w:t>；</w:t>
            </w:r>
            <w:r>
              <w:rPr>
                <w:rFonts w:hint="eastAsia"/>
                <w:sz w:val="21"/>
                <w:szCs w:val="21"/>
              </w:rPr>
              <w:t>无职业病发生</w:t>
            </w:r>
            <w:r>
              <w:rPr>
                <w:rFonts w:hint="eastAsia" w:cs="宋体"/>
                <w:sz w:val="21"/>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sz w:val="21"/>
                <w:szCs w:val="21"/>
                <w:lang w:val="en-US" w:eastAsia="zh-CN"/>
              </w:rPr>
              <w:t>2020年、2021年目标考核记录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cs="宋体"/>
                <w:sz w:val="21"/>
                <w:szCs w:val="21"/>
                <w:lang w:eastAsia="zh-CN"/>
              </w:rPr>
              <w:t>办公室</w:t>
            </w:r>
            <w:r>
              <w:rPr>
                <w:rFonts w:hint="eastAsia" w:ascii="Times New Roman" w:hAnsi="Times New Roman" w:cs="宋体"/>
                <w:sz w:val="21"/>
                <w:szCs w:val="21"/>
              </w:rPr>
              <w:t>组织编写，总经理批准发布实施，</w:t>
            </w:r>
            <w:r>
              <w:rPr>
                <w:rFonts w:hint="eastAsia"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1"/>
                <w:szCs w:val="21"/>
                <w:lang w:val="en-US" w:eastAsia="zh-CN"/>
              </w:rPr>
            </w:pPr>
            <w:r>
              <w:rPr>
                <w:rFonts w:hint="eastAsia"/>
                <w:sz w:val="21"/>
                <w:szCs w:val="21"/>
              </w:rPr>
              <w:t>配备有</w:t>
            </w:r>
            <w:r>
              <w:rPr>
                <w:rFonts w:hint="eastAsia"/>
                <w:sz w:val="21"/>
                <w:szCs w:val="21"/>
                <w:lang w:eastAsia="zh-CN"/>
              </w:rPr>
              <w:t>办公室、</w:t>
            </w:r>
            <w:r>
              <w:rPr>
                <w:rFonts w:hint="eastAsia"/>
                <w:sz w:val="21"/>
                <w:szCs w:val="21"/>
                <w:lang w:val="en-US" w:eastAsia="zh-CN"/>
              </w:rPr>
              <w:t>车间、库房</w:t>
            </w:r>
            <w:r>
              <w:rPr>
                <w:rFonts w:hint="eastAsia"/>
                <w:sz w:val="21"/>
                <w:szCs w:val="21"/>
              </w:rPr>
              <w:t>等基础设施，主要设</w:t>
            </w:r>
            <w:r>
              <w:rPr>
                <w:rFonts w:hint="eastAsia"/>
                <w:sz w:val="21"/>
                <w:szCs w:val="21"/>
                <w:lang w:eastAsia="zh-CN"/>
              </w:rPr>
              <w:t>施：</w:t>
            </w:r>
            <w:r>
              <w:rPr>
                <w:rFonts w:hint="eastAsia" w:ascii="宋体" w:hAnsi="宋体"/>
                <w:sz w:val="21"/>
                <w:szCs w:val="21"/>
                <w:lang w:eastAsia="zh-CN"/>
              </w:rPr>
              <w:t>电焊机、</w:t>
            </w:r>
            <w:r>
              <w:rPr>
                <w:rFonts w:hint="eastAsia" w:ascii="宋体" w:hAnsi="宋体"/>
                <w:sz w:val="21"/>
                <w:szCs w:val="21"/>
                <w:lang w:val="en-US" w:eastAsia="zh-CN"/>
              </w:rPr>
              <w:t>绞绳</w:t>
            </w:r>
            <w:r>
              <w:rPr>
                <w:rFonts w:hint="eastAsia" w:ascii="宋体" w:hAnsi="宋体"/>
                <w:sz w:val="21"/>
                <w:szCs w:val="21"/>
                <w:lang w:eastAsia="zh-CN"/>
              </w:rPr>
              <w:t>机、</w:t>
            </w:r>
            <w:r>
              <w:rPr>
                <w:rFonts w:hint="eastAsia" w:ascii="宋体" w:hAnsi="宋体"/>
                <w:sz w:val="21"/>
                <w:szCs w:val="21"/>
                <w:lang w:val="en-US" w:eastAsia="zh-CN"/>
              </w:rPr>
              <w:t>注塑机、冲压件、剪板机</w:t>
            </w:r>
            <w:r>
              <w:rPr>
                <w:rFonts w:hint="eastAsia"/>
                <w:sz w:val="21"/>
                <w:szCs w:val="21"/>
              </w:rPr>
              <w:t>，满足</w:t>
            </w:r>
            <w:r>
              <w:rPr>
                <w:rFonts w:hint="eastAsia"/>
                <w:sz w:val="21"/>
                <w:szCs w:val="21"/>
                <w:lang w:val="en-US" w:eastAsia="zh-CN"/>
              </w:rPr>
              <w:t>生产</w:t>
            </w:r>
            <w:r>
              <w:rPr>
                <w:rFonts w:hint="eastAsia"/>
                <w:sz w:val="21"/>
                <w:szCs w:val="21"/>
                <w:lang w:eastAsia="zh-CN"/>
              </w:rPr>
              <w:t>销售服务</w:t>
            </w:r>
            <w:r>
              <w:rPr>
                <w:rFonts w:hint="eastAsia"/>
                <w:sz w:val="21"/>
                <w:szCs w:val="21"/>
              </w:rPr>
              <w:t>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1"/>
                <w:szCs w:val="21"/>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50</w:t>
            </w:r>
            <w:r>
              <w:rPr>
                <w:rFonts w:hint="default" w:ascii="Times New Roman" w:hAnsi="Times New Roman" w:cs="Times New Roman"/>
                <w:sz w:val="21"/>
                <w:szCs w:val="21"/>
              </w:rPr>
              <w:t>0平米；</w:t>
            </w:r>
            <w:r>
              <w:rPr>
                <w:rFonts w:hint="eastAsia" w:cs="Times New Roman"/>
                <w:sz w:val="21"/>
                <w:szCs w:val="21"/>
                <w:lang w:val="en-US" w:eastAsia="zh-CN"/>
              </w:rPr>
              <w:t>车间20</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生产、仓储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 xml:space="preserve"> </w:t>
            </w:r>
            <w:r>
              <w:rPr>
                <w:rFonts w:hint="eastAsia" w:ascii="Times New Roman" w:hAnsi="Times New Roman" w:cs="Times New Roman"/>
                <w:sz w:val="21"/>
                <w:szCs w:val="21"/>
                <w:lang w:val="en-US" w:eastAsia="zh-CN"/>
              </w:rPr>
              <w:t>钢卷尺、游标卡尺、万用表、电阻仪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1"/>
                <w:szCs w:val="21"/>
              </w:rPr>
            </w:pPr>
            <w:r>
              <w:rPr>
                <w:rFonts w:hint="eastAsia"/>
                <w:sz w:val="21"/>
                <w:szCs w:val="21"/>
              </w:rPr>
              <w:t>公司对法律法规及其他要求进行了获取，包括质量法、合同法、环境保护法、环境噪声污染防治法、劳动法、消防法、环境空气质量标准、固体废弃物环境防治法、仓库防火安全管理规则、劳动保护用品管理规定、</w:t>
            </w:r>
            <w:r>
              <w:rPr>
                <w:rFonts w:hint="eastAsia" w:ascii="Times New Roman" w:hAnsi="Times New Roman" w:cs="Times New Roman"/>
                <w:sz w:val="21"/>
                <w:szCs w:val="21"/>
                <w:lang w:val="en-US" w:eastAsia="zh-CN"/>
              </w:rPr>
              <w:t>TB/T2926-1998《铁路通信信号不燃型菱镁复合材料电缆槽》、TB 1460-83《AD型道岔跳线》、TB 1459-83《 YG型钢轨引接线》</w:t>
            </w:r>
            <w:r>
              <w:rPr>
                <w:rFonts w:hint="eastAsia" w:cs="Times New Roman"/>
                <w:sz w:val="21"/>
                <w:szCs w:val="21"/>
                <w:lang w:val="en-US" w:eastAsia="zh-CN"/>
              </w:rPr>
              <w:t>、</w:t>
            </w:r>
            <w:r>
              <w:rPr>
                <w:rFonts w:hint="eastAsia"/>
                <w:sz w:val="21"/>
                <w:szCs w:val="21"/>
              </w:rPr>
              <w:t>GB12348-2008《工业企业厂界环境噪声排放标准》、GB3095-2012《环境空气质量标准》、</w:t>
            </w:r>
            <w:r>
              <w:rPr>
                <w:sz w:val="21"/>
                <w:szCs w:val="21"/>
              </w:rPr>
              <w:t>GBZ2-200</w:t>
            </w:r>
            <w:r>
              <w:rPr>
                <w:rFonts w:hint="eastAsia"/>
                <w:sz w:val="21"/>
                <w:szCs w:val="21"/>
              </w:rPr>
              <w:t>7《</w:t>
            </w:r>
            <w:r>
              <w:rPr>
                <w:sz w:val="21"/>
                <w:szCs w:val="21"/>
              </w:rPr>
              <w:t>工作场所有害因素职业接触限值</w:t>
            </w:r>
            <w:r>
              <w:rPr>
                <w:rFonts w:hint="eastAsia"/>
                <w:sz w:val="21"/>
                <w:szCs w:val="21"/>
              </w:rPr>
              <w:t>》、</w:t>
            </w:r>
            <w:r>
              <w:rPr>
                <w:rFonts w:hint="eastAsia"/>
                <w:sz w:val="21"/>
                <w:szCs w:val="21"/>
                <w:u w:val="none"/>
                <w:lang w:val="en-US" w:eastAsia="zh-CN"/>
              </w:rPr>
              <w:t>DB13/2322-2016《工业企业挥发性有机物排放控制标准》</w:t>
            </w:r>
            <w:r>
              <w:rPr>
                <w:rFonts w:hint="eastAsia"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6.</w:t>
            </w:r>
            <w:r>
              <w:rPr>
                <w:rFonts w:hint="eastAsia" w:ascii="宋体" w:hAnsi="宋体"/>
                <w:b/>
                <w:color w:val="000000" w:themeColor="text1"/>
                <w:sz w:val="21"/>
                <w:szCs w:val="21"/>
              </w:rPr>
              <w:t>环保设施：</w:t>
            </w:r>
            <w:r>
              <w:rPr>
                <w:rFonts w:hint="eastAsia"/>
                <w:sz w:val="21"/>
                <w:szCs w:val="21"/>
                <w:lang w:val="en-US" w:eastAsia="zh-CN"/>
              </w:rPr>
              <w:t>除尘器</w:t>
            </w:r>
            <w:r>
              <w:rPr>
                <w:rFonts w:hint="eastAsia"/>
                <w:sz w:val="21"/>
                <w:szCs w:val="21"/>
              </w:rPr>
              <w:t>、减震基础、消防器材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7.</w:t>
            </w:r>
            <w:r>
              <w:rPr>
                <w:rFonts w:hint="eastAsia" w:ascii="宋体" w:hAnsi="宋体"/>
                <w:b/>
                <w:color w:val="000000" w:themeColor="text1"/>
                <w:sz w:val="21"/>
                <w:szCs w:val="21"/>
              </w:rPr>
              <w:t>职业健康安全设施：</w:t>
            </w:r>
            <w:r>
              <w:rPr>
                <w:rFonts w:hint="eastAsia" w:ascii="宋体" w:hAnsi="宋体"/>
                <w:b w:val="0"/>
                <w:bCs/>
                <w:color w:val="000000" w:themeColor="text1"/>
                <w:sz w:val="21"/>
                <w:szCs w:val="21"/>
                <w:lang w:val="en-US" w:eastAsia="zh-CN"/>
              </w:rPr>
              <w:t>警示牌、灭火器、手套、口罩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1"/>
                <w:szCs w:val="21"/>
                <w:lang w:val="en-US" w:eastAsia="zh-CN"/>
              </w:rPr>
            </w:pPr>
            <w:r>
              <w:rPr>
                <w:sz w:val="21"/>
                <w:szCs w:val="21"/>
              </w:rPr>
              <w:t>1.</w:t>
            </w:r>
            <w:r>
              <w:rPr>
                <w:rFonts w:hint="eastAsia" w:cs="宋体"/>
                <w:sz w:val="21"/>
                <w:szCs w:val="21"/>
              </w:rPr>
              <w:t>管理方针：</w:t>
            </w:r>
            <w:r>
              <w:rPr>
                <w:rFonts w:hint="eastAsia"/>
                <w:sz w:val="21"/>
                <w:szCs w:val="21"/>
              </w:rPr>
              <w:t>科学管理，遵守法规，预防污染，持续改进，为社会及员工提供一个健康、安全的工作生活环境，提供用户满意的优质产品，创国内一流品牌</w:t>
            </w:r>
            <w:r>
              <w:rPr>
                <w:rFonts w:hint="eastAsia" w:cs="宋体"/>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67" w:hangingChars="79"/>
              <w:textAlignment w:val="auto"/>
              <w:rPr>
                <w:rFonts w:ascii="楷体_GB2312" w:eastAsia="楷体_GB2312"/>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3.  QMS 组织对重要过程实施控制的结果(包括对QMS关键工序(过程)、特殊过程控制;评价组织对过程实施控制情况/)</w:t>
            </w:r>
          </w:p>
          <w:p>
            <w:pPr>
              <w:pStyle w:val="15"/>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ascii="Times New Roman" w:hAnsi="Times New Roman" w:eastAsia="宋体" w:cs="Times New Roman"/>
                <w:color w:val="auto"/>
                <w:kern w:val="2"/>
                <w:sz w:val="21"/>
                <w:szCs w:val="21"/>
                <w:lang w:val="en-US" w:eastAsia="zh-CN" w:bidi="ar-SA"/>
              </w:rPr>
              <w:t>采购过程控制（包括外包过程）：首先编制进货检验规程等作业文件规定采购产品质量要求；其次对采购供方（包括外包方）进行了评价，保证采购产品/服务的质量符合公司要求；通过制定采购计划实施采购，符合要求。</w:t>
            </w:r>
          </w:p>
          <w:p>
            <w:pPr>
              <w:pStyle w:val="15"/>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GB" w:eastAsia="zh-CN" w:bidi="ar-SA"/>
              </w:rPr>
              <w:t>生产过程控制：主要控制的过程有</w:t>
            </w:r>
            <w:r>
              <w:rPr>
                <w:rFonts w:hint="eastAsia" w:ascii="Times New Roman" w:hAnsi="Times New Roman" w:eastAsia="宋体" w:cs="Times New Roman"/>
                <w:color w:val="auto"/>
                <w:kern w:val="2"/>
                <w:sz w:val="21"/>
                <w:szCs w:val="21"/>
                <w:lang w:val="en-US" w:eastAsia="zh-CN" w:bidi="ar-SA"/>
              </w:rPr>
              <w:t>焊接、注塑、切割、冲压、折弯</w:t>
            </w:r>
            <w:r>
              <w:rPr>
                <w:rFonts w:hint="eastAsia" w:ascii="Times New Roman" w:hAnsi="Times New Roman" w:eastAsia="宋体" w:cs="Times New Roman"/>
                <w:color w:val="auto"/>
                <w:kern w:val="2"/>
                <w:sz w:val="21"/>
                <w:szCs w:val="21"/>
                <w:lang w:val="en-GB" w:eastAsia="zh-CN" w:bidi="ar-SA"/>
              </w:rPr>
              <w:t>；制定了生产</w:t>
            </w:r>
            <w:r>
              <w:rPr>
                <w:rFonts w:hint="eastAsia" w:ascii="Times New Roman" w:hAnsi="Times New Roman" w:eastAsia="宋体" w:cs="Times New Roman"/>
                <w:color w:val="auto"/>
                <w:kern w:val="2"/>
                <w:sz w:val="21"/>
                <w:szCs w:val="21"/>
                <w:lang w:val="en-US" w:eastAsia="zh-CN" w:bidi="ar-SA"/>
              </w:rPr>
              <w:t>设备管理制度、设备操作规程、作业指导书、成品检验规范等管理技术文件；配备了电焊机、绞绳机、注塑机、冲压件、剪板机等生产设备及数字电桥、游标卡尺、钢卷尺等检测仪器；下料/冲压/折弯工序主要控制外观/尺寸，注塑工序</w:t>
            </w:r>
            <w:r>
              <w:rPr>
                <w:rFonts w:hint="eastAsia" w:ascii="Times New Roman" w:hAnsi="Times New Roman" w:eastAsia="宋体" w:cs="Times New Roman"/>
                <w:color w:val="auto"/>
                <w:kern w:val="2"/>
                <w:sz w:val="21"/>
                <w:szCs w:val="21"/>
                <w:lang w:val="zh-CN" w:eastAsia="zh-CN" w:bidi="ar-SA"/>
              </w:rPr>
              <w:t>主要控制</w:t>
            </w:r>
            <w:r>
              <w:rPr>
                <w:rFonts w:hint="eastAsia" w:ascii="Times New Roman" w:hAnsi="Times New Roman" w:eastAsia="宋体" w:cs="Times New Roman"/>
                <w:color w:val="auto"/>
                <w:kern w:val="2"/>
                <w:sz w:val="21"/>
                <w:szCs w:val="21"/>
                <w:lang w:val="en-US" w:eastAsia="zh-CN" w:bidi="ar-SA"/>
              </w:rPr>
              <w:t>温度/时间，焊接主要控制电压/电流，</w:t>
            </w:r>
            <w:r>
              <w:rPr>
                <w:rFonts w:hint="eastAsia" w:ascii="Times New Roman" w:hAnsi="Times New Roman" w:eastAsia="宋体" w:cs="Times New Roman"/>
                <w:color w:val="auto"/>
                <w:kern w:val="2"/>
                <w:sz w:val="21"/>
                <w:szCs w:val="21"/>
                <w:lang w:val="en-GB" w:eastAsia="zh-CN" w:bidi="ar-SA"/>
              </w:rPr>
              <w:t>现场查看各工序均按照要求进行操作，审核结论：</w:t>
            </w:r>
            <w:r>
              <w:rPr>
                <w:rFonts w:hint="eastAsia" w:ascii="Times New Roman" w:hAnsi="Times New Roman" w:eastAsia="宋体" w:cs="Times New Roman"/>
                <w:color w:val="auto"/>
                <w:kern w:val="2"/>
                <w:sz w:val="21"/>
                <w:szCs w:val="21"/>
                <w:lang w:val="en-US" w:eastAsia="zh-CN" w:bidi="ar-SA"/>
              </w:rPr>
              <w:t>生产过程控制符合要求</w:t>
            </w:r>
            <w:r>
              <w:rPr>
                <w:rFonts w:hint="eastAsia" w:ascii="Times New Roman" w:hAnsi="Times New Roman" w:eastAsia="宋体" w:cs="Times New Roman"/>
                <w:color w:val="auto"/>
                <w:kern w:val="2"/>
                <w:sz w:val="21"/>
                <w:szCs w:val="21"/>
                <w:lang w:val="en-GB" w:eastAsia="zh-CN" w:bidi="ar-SA"/>
              </w:rPr>
              <w:t>。</w:t>
            </w:r>
          </w:p>
          <w:p>
            <w:pPr>
              <w:pStyle w:val="15"/>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GB" w:eastAsia="zh-CN" w:bidi="ar-SA"/>
              </w:rPr>
              <w:t>产品检验：分为原材料、半成品及成品检验，原材料采取进货验证，半成品采取随工序检验，产品采取抽检；原材料主要为</w:t>
            </w:r>
            <w:r>
              <w:rPr>
                <w:rFonts w:hint="eastAsia" w:ascii="Times New Roman" w:hAnsi="Times New Roman" w:eastAsia="宋体" w:cs="Times New Roman"/>
                <w:color w:val="auto"/>
                <w:kern w:val="2"/>
                <w:sz w:val="21"/>
                <w:szCs w:val="21"/>
                <w:lang w:val="en-US" w:eastAsia="zh-CN" w:bidi="ar-SA"/>
              </w:rPr>
              <w:t>塑料颗粒、型材、钢板、镀锌板、铜线，</w:t>
            </w:r>
            <w:r>
              <w:rPr>
                <w:rFonts w:hint="eastAsia" w:ascii="Times New Roman" w:hAnsi="Times New Roman" w:eastAsia="宋体" w:cs="Times New Roman"/>
                <w:color w:val="auto"/>
                <w:kern w:val="2"/>
                <w:sz w:val="21"/>
                <w:szCs w:val="21"/>
                <w:lang w:val="en-GB" w:eastAsia="zh-CN" w:bidi="ar-SA"/>
              </w:rPr>
              <w:t>验证项目有</w:t>
            </w:r>
            <w:r>
              <w:rPr>
                <w:rFonts w:hint="eastAsia" w:ascii="Times New Roman" w:hAnsi="Times New Roman" w:eastAsia="宋体" w:cs="Times New Roman"/>
                <w:color w:val="auto"/>
                <w:kern w:val="2"/>
                <w:sz w:val="21"/>
                <w:szCs w:val="21"/>
                <w:lang w:val="en-US" w:eastAsia="zh-CN" w:bidi="ar-SA"/>
              </w:rPr>
              <w:t>数量/外观/尺寸/材质单</w:t>
            </w:r>
            <w:r>
              <w:rPr>
                <w:rFonts w:hint="eastAsia" w:ascii="Times New Roman" w:hAnsi="Times New Roman" w:eastAsia="宋体" w:cs="Times New Roman"/>
                <w:color w:val="auto"/>
                <w:kern w:val="2"/>
                <w:sz w:val="21"/>
                <w:szCs w:val="21"/>
                <w:lang w:val="en-GB" w:eastAsia="zh-CN" w:bidi="ar-SA"/>
              </w:rPr>
              <w:t>；半成品主要为关键工序检验</w:t>
            </w:r>
            <w:r>
              <w:rPr>
                <w:rFonts w:hint="eastAsia" w:ascii="Times New Roman" w:hAnsi="Times New Roman" w:eastAsia="宋体" w:cs="Times New Roman"/>
                <w:color w:val="auto"/>
                <w:kern w:val="2"/>
                <w:sz w:val="21"/>
                <w:szCs w:val="21"/>
                <w:lang w:val="en-US" w:eastAsia="zh-CN" w:bidi="ar-SA"/>
              </w:rPr>
              <w:t>，验证项目为尺寸；</w:t>
            </w:r>
            <w:r>
              <w:rPr>
                <w:rFonts w:hint="eastAsia" w:ascii="Times New Roman" w:hAnsi="Times New Roman" w:eastAsia="宋体" w:cs="Times New Roman"/>
                <w:color w:val="auto"/>
                <w:kern w:val="2"/>
                <w:sz w:val="21"/>
                <w:szCs w:val="21"/>
                <w:lang w:val="en-GB" w:eastAsia="zh-CN" w:bidi="ar-SA"/>
              </w:rPr>
              <w:t>成品检验：检验</w:t>
            </w:r>
            <w:r>
              <w:rPr>
                <w:rFonts w:hint="eastAsia" w:ascii="Times New Roman" w:hAnsi="Times New Roman" w:eastAsia="宋体" w:cs="Times New Roman"/>
                <w:color w:val="auto"/>
                <w:kern w:val="2"/>
                <w:sz w:val="21"/>
                <w:szCs w:val="21"/>
                <w:lang w:val="en-US" w:eastAsia="zh-CN" w:bidi="ar-SA"/>
              </w:rPr>
              <w:t>项目有外观/外形尺寸/阻值</w:t>
            </w:r>
            <w:r>
              <w:rPr>
                <w:rFonts w:hint="eastAsia" w:ascii="Times New Roman" w:hAnsi="Times New Roman" w:eastAsia="宋体" w:cs="Times New Roman"/>
                <w:color w:val="auto"/>
                <w:kern w:val="2"/>
                <w:sz w:val="21"/>
                <w:szCs w:val="21"/>
                <w:lang w:val="zh-CN" w:eastAsia="zh-CN" w:bidi="ar-SA"/>
              </w:rPr>
              <w:t>等</w:t>
            </w:r>
            <w:r>
              <w:rPr>
                <w:rFonts w:hint="eastAsia" w:ascii="Times New Roman" w:hAnsi="Times New Roman" w:eastAsia="宋体" w:cs="Times New Roman"/>
                <w:color w:val="auto"/>
                <w:kern w:val="2"/>
                <w:sz w:val="21"/>
                <w:szCs w:val="21"/>
                <w:lang w:val="en-US" w:eastAsia="zh-CN" w:bidi="ar-SA"/>
              </w:rPr>
              <w:t>。提供原材料、半成品(工序)、产品检验记录。审核结论：产品的监视和测量符合要求。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color w:val="000000" w:themeColor="text1"/>
                <w:sz w:val="21"/>
                <w:szCs w:val="21"/>
                <w:lang w:val="en-US" w:eastAsia="zh-CN"/>
              </w:rPr>
            </w:pPr>
            <w:r>
              <w:rPr>
                <w:rFonts w:hint="eastAsia" w:ascii="Times New Roman" w:hAnsi="Times New Roman" w:eastAsia="宋体" w:cs="Times New Roman"/>
                <w:color w:val="auto"/>
                <w:kern w:val="2"/>
                <w:sz w:val="21"/>
                <w:szCs w:val="21"/>
                <w:lang w:val="en-GB" w:eastAsia="zh-CN" w:bidi="ar-SA"/>
              </w:rPr>
              <w:t>产品销售过程：</w:t>
            </w:r>
            <w:r>
              <w:rPr>
                <w:rFonts w:hint="eastAsia" w:ascii="Times New Roman" w:hAnsi="Times New Roman" w:eastAsia="宋体" w:cs="Times New Roman"/>
                <w:color w:val="auto"/>
                <w:kern w:val="2"/>
                <w:sz w:val="21"/>
                <w:szCs w:val="21"/>
                <w:lang w:val="en-US" w:eastAsia="zh-CN" w:bidi="ar-SA"/>
              </w:rPr>
              <w:t>公司主要产品为铁路专用连接线、电容防护盒、调谐设备基础防护装置、电缆槽、补偿电容等，且按照国家、行业相关标准、顾客提供的技术资料、图纸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审核结论：产品</w:t>
            </w:r>
            <w:r>
              <w:rPr>
                <w:rFonts w:hint="eastAsia" w:ascii="Times New Roman" w:hAnsi="Times New Roman" w:eastAsia="宋体" w:cs="Times New Roman"/>
                <w:color w:val="auto"/>
                <w:kern w:val="2"/>
                <w:sz w:val="21"/>
                <w:szCs w:val="21"/>
                <w:lang w:val="en-GB" w:eastAsia="zh-CN" w:bidi="ar-SA"/>
              </w:rPr>
              <w:t>销售过程的控制符合要求</w:t>
            </w:r>
            <w:r>
              <w:rPr>
                <w:rFonts w:hint="eastAsia" w:ascii="Times New Roman" w:hAnsi="Times New Roman" w:eastAsia="宋体" w:cs="Times New Roman"/>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ascii="宋体" w:hAnsi="宋体" w:eastAsia="宋体" w:cs="Times New Roman"/>
                <w:color w:val="auto"/>
                <w:kern w:val="2"/>
                <w:sz w:val="21"/>
                <w:szCs w:val="21"/>
                <w:lang w:val="en-US" w:eastAsia="zh-CN" w:bidi="ar-SA"/>
              </w:rPr>
              <w:t>主要满足TB/T2926-1998《铁路通信信号不燃型菱镁复合材料电缆槽》、TB 1460-83《AD型道岔跳线》、TB 1459-83《 YG型钢轨引接线》及客户要求，目前向顾客提供的产品均合格，提供有产品检验记录、客户验收记录。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207" w:firstLineChars="98"/>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eastAsia"/>
                <w:sz w:val="21"/>
                <w:szCs w:val="21"/>
                <w:u w:val="none"/>
                <w:lang w:val="en-GB"/>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w:t>
            </w:r>
            <w:r>
              <w:rPr>
                <w:rFonts w:hint="eastAsia"/>
                <w:b w:val="0"/>
                <w:bCs w:val="0"/>
                <w:sz w:val="21"/>
                <w:szCs w:val="21"/>
                <w:lang w:val="en-US" w:eastAsia="zh-CN"/>
              </w:rPr>
              <w:t>废气排放、噪声排放、</w:t>
            </w:r>
            <w:r>
              <w:rPr>
                <w:rFonts w:hint="eastAsia"/>
                <w:b w:val="0"/>
                <w:bCs w:val="0"/>
                <w:sz w:val="21"/>
                <w:szCs w:val="21"/>
              </w:rPr>
              <w:t>固废处置、资源控制、火灾、相关方施加影</w:t>
            </w:r>
            <w:r>
              <w:rPr>
                <w:rFonts w:hint="eastAsia"/>
                <w:b w:val="0"/>
                <w:bCs w:val="0"/>
                <w:sz w:val="21"/>
                <w:szCs w:val="21"/>
                <w:u w:val="none"/>
              </w:rPr>
              <w:t>响等。</w:t>
            </w:r>
            <w:r>
              <w:rPr>
                <w:rFonts w:hint="eastAsia"/>
                <w:sz w:val="21"/>
                <w:szCs w:val="21"/>
                <w:u w:val="none"/>
                <w:lang w:val="en-US" w:eastAsia="zh-CN"/>
              </w:rPr>
              <w:t>因公司经营需要，将部门厂房租赁给</w:t>
            </w:r>
            <w:r>
              <w:rPr>
                <w:rFonts w:hint="eastAsia"/>
                <w:sz w:val="21"/>
                <w:szCs w:val="21"/>
                <w:u w:val="none"/>
                <w:lang w:val="en-GB"/>
              </w:rPr>
              <w:t>无锡市同兴铁路器材有限公司进行生产</w:t>
            </w:r>
            <w:r>
              <w:rPr>
                <w:rFonts w:hint="eastAsia"/>
                <w:sz w:val="21"/>
                <w:szCs w:val="21"/>
                <w:u w:val="none"/>
                <w:lang w:val="en-US" w:eastAsia="zh-CN"/>
              </w:rPr>
              <w:t>经营</w:t>
            </w:r>
            <w:r>
              <w:rPr>
                <w:rFonts w:hint="eastAsia"/>
                <w:sz w:val="21"/>
                <w:szCs w:val="21"/>
                <w:u w:val="none"/>
                <w:lang w:val="en-GB"/>
              </w:rPr>
              <w:t>，未提供对其实施了环境方面控制的证据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b w:val="0"/>
                <w:bCs w:val="0"/>
                <w:sz w:val="21"/>
                <w:szCs w:val="21"/>
                <w:u w:val="none"/>
              </w:rPr>
              <w:t>查看办公区域</w:t>
            </w:r>
            <w:r>
              <w:rPr>
                <w:rFonts w:hint="eastAsia"/>
                <w:b w:val="0"/>
                <w:bCs w:val="0"/>
                <w:sz w:val="21"/>
                <w:szCs w:val="21"/>
                <w:u w:val="none"/>
                <w:lang w:eastAsia="zh-CN"/>
              </w:rPr>
              <w:t>、</w:t>
            </w:r>
            <w:r>
              <w:rPr>
                <w:rFonts w:hint="eastAsia"/>
                <w:b w:val="0"/>
                <w:bCs w:val="0"/>
                <w:sz w:val="21"/>
                <w:szCs w:val="21"/>
                <w:u w:val="none"/>
                <w:lang w:val="en-US" w:eastAsia="zh-CN"/>
              </w:rPr>
              <w:t>车间</w:t>
            </w:r>
            <w:r>
              <w:rPr>
                <w:rFonts w:hint="eastAsia"/>
                <w:b w:val="0"/>
                <w:bCs w:val="0"/>
                <w:sz w:val="21"/>
                <w:szCs w:val="21"/>
                <w:u w:val="none"/>
              </w:rPr>
              <w:t>干净整洁，配置灭火器等消防设施</w:t>
            </w:r>
            <w:r>
              <w:rPr>
                <w:rFonts w:hint="eastAsia"/>
                <w:b w:val="0"/>
                <w:bCs w:val="0"/>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OHSMS组织对不可接受风险实施控制的结果</w:t>
            </w:r>
          </w:p>
          <w:p>
            <w:pPr>
              <w:keepNext w:val="0"/>
              <w:keepLines w:val="0"/>
              <w:pageBreakBefore w:val="0"/>
              <w:kinsoku/>
              <w:wordWrap/>
              <w:overflowPunct/>
              <w:topLinePunct w:val="0"/>
              <w:bidi w:val="0"/>
              <w:snapToGrid/>
              <w:spacing w:line="360" w:lineRule="exact"/>
              <w:textAlignment w:val="auto"/>
              <w:rPr>
                <w:rFonts w:hint="default"/>
                <w:b/>
                <w:color w:val="000000" w:themeColor="text1"/>
                <w:sz w:val="21"/>
                <w:szCs w:val="21"/>
                <w:lang w:val="en-US"/>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 w:val="21"/>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物体打击、意外伤害、车辆</w:t>
            </w:r>
            <w:r>
              <w:rPr>
                <w:rFonts w:hint="eastAsia"/>
                <w:b w:val="0"/>
                <w:bCs w:val="0"/>
                <w:sz w:val="21"/>
                <w:szCs w:val="21"/>
                <w:lang w:val="en-GB"/>
              </w:rPr>
              <w:t>伤害</w:t>
            </w:r>
            <w:r>
              <w:rPr>
                <w:rFonts w:hint="eastAsia"/>
                <w:b w:val="0"/>
                <w:bCs w:val="0"/>
                <w:sz w:val="21"/>
                <w:szCs w:val="21"/>
              </w:rPr>
              <w:t>、相关方施加影响等</w:t>
            </w:r>
            <w:r>
              <w:rPr>
                <w:rFonts w:hint="eastAsia"/>
                <w:b w:val="0"/>
                <w:bCs w:val="0"/>
                <w:sz w:val="21"/>
                <w:szCs w:val="21"/>
                <w:u w:val="none"/>
              </w:rPr>
              <w:t>进行控制，具体措施有对员工进行安全教育，发放劳保用品，对相关方进行告知</w:t>
            </w:r>
            <w:r>
              <w:rPr>
                <w:rFonts w:hint="eastAsia"/>
                <w:b w:val="0"/>
                <w:bCs w:val="0"/>
                <w:sz w:val="21"/>
                <w:szCs w:val="21"/>
                <w:u w:val="none"/>
                <w:lang w:eastAsia="zh-CN"/>
              </w:rPr>
              <w:t>。</w:t>
            </w:r>
            <w:r>
              <w:rPr>
                <w:rFonts w:hint="eastAsia"/>
                <w:sz w:val="21"/>
                <w:szCs w:val="21"/>
                <w:u w:val="none"/>
                <w:lang w:val="en-US" w:eastAsia="zh-CN"/>
              </w:rPr>
              <w:t>因公司经营需要，将部门厂房租赁给</w:t>
            </w:r>
            <w:r>
              <w:rPr>
                <w:rFonts w:hint="eastAsia"/>
                <w:sz w:val="21"/>
                <w:szCs w:val="21"/>
                <w:u w:val="none"/>
                <w:lang w:val="en-GB"/>
              </w:rPr>
              <w:t>无锡市同兴铁路器材有限公司进行生产</w:t>
            </w:r>
            <w:r>
              <w:rPr>
                <w:rFonts w:hint="eastAsia"/>
                <w:sz w:val="21"/>
                <w:szCs w:val="21"/>
                <w:u w:val="none"/>
                <w:lang w:val="en-US" w:eastAsia="zh-CN"/>
              </w:rPr>
              <w:t>经营</w:t>
            </w:r>
            <w:r>
              <w:rPr>
                <w:rFonts w:hint="eastAsia"/>
                <w:sz w:val="21"/>
                <w:szCs w:val="21"/>
                <w:u w:val="none"/>
                <w:lang w:val="en-GB"/>
              </w:rPr>
              <w:t>，未提供对其实施了职业健康安全方面控制的证据</w:t>
            </w:r>
            <w:r>
              <w:rPr>
                <w:rFonts w:hint="eastAsia"/>
                <w:sz w:val="21"/>
                <w:szCs w:val="21"/>
                <w:u w:val="none"/>
                <w:lang w:val="en-GB" w:eastAsia="zh-CN"/>
              </w:rPr>
              <w:t>。</w:t>
            </w:r>
            <w:r>
              <w:rPr>
                <w:rFonts w:hint="eastAsia"/>
                <w:b w:val="0"/>
                <w:bCs w:val="0"/>
                <w:sz w:val="21"/>
                <w:szCs w:val="21"/>
                <w:u w:val="none"/>
              </w:rPr>
              <w:t>查看办</w:t>
            </w:r>
            <w:r>
              <w:rPr>
                <w:rFonts w:hint="eastAsia"/>
                <w:b w:val="0"/>
                <w:bCs w:val="0"/>
                <w:sz w:val="21"/>
                <w:szCs w:val="21"/>
              </w:rPr>
              <w:t>公区域</w:t>
            </w:r>
            <w:r>
              <w:rPr>
                <w:rFonts w:hint="eastAsia"/>
                <w:b w:val="0"/>
                <w:bCs w:val="0"/>
                <w:sz w:val="21"/>
                <w:szCs w:val="21"/>
                <w:lang w:eastAsia="zh-CN"/>
              </w:rPr>
              <w:t>、</w:t>
            </w:r>
            <w:r>
              <w:rPr>
                <w:rFonts w:hint="eastAsia"/>
                <w:b w:val="0"/>
                <w:bCs w:val="0"/>
                <w:sz w:val="21"/>
                <w:szCs w:val="21"/>
                <w:lang w:val="en-US" w:eastAsia="zh-CN"/>
              </w:rPr>
              <w:t>车间</w:t>
            </w:r>
            <w:r>
              <w:rPr>
                <w:rFonts w:hint="eastAsia"/>
                <w:b w:val="0"/>
                <w:bCs w:val="0"/>
                <w:sz w:val="21"/>
                <w:szCs w:val="21"/>
              </w:rPr>
              <w:t>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11" w:hangingChars="100"/>
              <w:textAlignment w:val="auto"/>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1"/>
                <w:szCs w:val="21"/>
              </w:rPr>
            </w:pPr>
            <w:r>
              <w:rPr>
                <w:rFonts w:hint="eastAsia" w:ascii="宋体" w:hAnsi="宋体"/>
                <w:bCs/>
                <w:color w:val="auto"/>
                <w:sz w:val="21"/>
                <w:szCs w:val="21"/>
                <w:u w:val="none" w:color="auto"/>
                <w:lang w:eastAsia="zh-CN"/>
              </w:rPr>
              <w:t>编制应急准备和响应控制程序，识别的潜在意外紧急情况为</w:t>
            </w:r>
            <w:r>
              <w:rPr>
                <w:rFonts w:hint="eastAsia"/>
                <w:sz w:val="21"/>
                <w:szCs w:val="21"/>
                <w:lang w:val="en-GB"/>
              </w:rPr>
              <w:t>火灾、触电、机械伤害</w:t>
            </w:r>
            <w:r>
              <w:rPr>
                <w:rFonts w:hint="eastAsia" w:ascii="宋体" w:hAnsi="宋体"/>
                <w:bCs/>
                <w:color w:val="auto"/>
                <w:sz w:val="21"/>
                <w:szCs w:val="21"/>
                <w:u w:val="none" w:color="auto"/>
                <w:lang w:eastAsia="zh-CN"/>
              </w:rPr>
              <w:t>等。编制了应急预案—包括</w:t>
            </w:r>
            <w:r>
              <w:rPr>
                <w:rFonts w:hint="eastAsia"/>
                <w:sz w:val="21"/>
                <w:szCs w:val="21"/>
                <w:lang w:val="en-GB"/>
              </w:rPr>
              <w:t>火灾、触电、机械伤害</w:t>
            </w:r>
            <w:r>
              <w:rPr>
                <w:rFonts w:hint="eastAsia" w:ascii="宋体" w:hAnsi="宋体"/>
                <w:bCs/>
                <w:color w:val="auto"/>
                <w:sz w:val="21"/>
                <w:szCs w:val="21"/>
                <w:u w:val="none" w:color="auto"/>
                <w:lang w:eastAsia="zh-CN"/>
              </w:rPr>
              <w:t>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rPr>
              <w:t>10. 对特种设备的维护，检定;</w:t>
            </w:r>
            <w:r>
              <w:rPr>
                <w:rFonts w:hint="eastAsia"/>
                <w:b/>
                <w:color w:val="000000" w:themeColor="text1"/>
                <w:sz w:val="21"/>
                <w:szCs w:val="21"/>
                <w:lang w:eastAsia="zh-CN"/>
              </w:rPr>
              <w:t>：</w:t>
            </w: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rPr>
              <w:t>11 .对危险化学品销售、使用、储存、运输处置，规定的执行力度(必要时)</w:t>
            </w:r>
            <w:r>
              <w:rPr>
                <w:rFonts w:hint="eastAsia"/>
                <w:b/>
                <w:color w:val="000000" w:themeColor="text1"/>
                <w:sz w:val="21"/>
                <w:szCs w:val="21"/>
                <w:lang w:eastAsia="zh-CN"/>
              </w:rPr>
              <w:t>：</w:t>
            </w:r>
            <w:r>
              <w:rPr>
                <w:rFonts w:hint="eastAsia"/>
                <w:b w:val="0"/>
                <w:bCs/>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w:t>
            </w:r>
            <w:r>
              <w:rPr>
                <w:rFonts w:hint="eastAsia"/>
                <w:sz w:val="21"/>
                <w:szCs w:val="21"/>
                <w:lang w:eastAsia="zh-CN"/>
              </w:rPr>
              <w:t>、</w:t>
            </w:r>
            <w:r>
              <w:rPr>
                <w:rFonts w:hint="eastAsia"/>
                <w:sz w:val="21"/>
                <w:szCs w:val="21"/>
                <w:lang w:val="en-US" w:eastAsia="zh-CN"/>
              </w:rPr>
              <w:t>2021年</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6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sz w:val="21"/>
                <w:szCs w:val="21"/>
              </w:rPr>
              <w:t>按照策划的安排于20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月17-18日进行了一次集中式的内部审核，经查阅资料及与管代沟通，内审员没有审核自己的工作，查阅内审记录，符合策划安排，提出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eastAsia="zh-CN"/>
              </w:rPr>
            </w:pPr>
            <w:r>
              <w:rPr>
                <w:rFonts w:hint="eastAsia"/>
                <w:sz w:val="21"/>
                <w:szCs w:val="21"/>
              </w:rPr>
              <w:t>按照策划的安排于20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30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sz w:val="21"/>
                <w:szCs w:val="21"/>
                <w:u w:val="none"/>
                <w:lang w:val="en-US" w:eastAsia="zh-CN"/>
              </w:rPr>
              <w:t>提供2020年8月14日河北华普环境检测有限公司出具的《检测报告》，显示废气、噪声排放达标，详见附件。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ascii="Times New Roman" w:hAnsi="Times New Roman" w:cs="Times New Roman"/>
                <w:sz w:val="21"/>
                <w:szCs w:val="21"/>
                <w:lang w:val="en-US" w:eastAsia="zh-CN"/>
              </w:rPr>
              <w:t>提供《建设项目环境影响报告》，衡水市行政审批局《环评批复》，《建设项目竣工环境保护阶段性验收报告》，《固定污染源排污登记回执》</w:t>
            </w:r>
            <w:r>
              <w:rPr>
                <w:rFonts w:hint="eastAsia"/>
                <w:sz w:val="21"/>
                <w:szCs w:val="21"/>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autoSpaceDE/>
              <w:autoSpaceDN/>
              <w:bidi w:val="0"/>
              <w:adjustRightInd/>
              <w:snapToGrid/>
              <w:spacing w:line="360" w:lineRule="exact"/>
              <w:textAlignment w:val="auto"/>
              <w:rPr>
                <w:rFonts w:hint="eastAsia"/>
                <w:b/>
                <w:color w:val="000000" w:themeColor="text1"/>
                <w:sz w:val="21"/>
                <w:szCs w:val="21"/>
              </w:rPr>
            </w:pPr>
            <w:r>
              <w:rPr>
                <w:rFonts w:hint="eastAsia"/>
                <w:b/>
                <w:color w:val="000000" w:themeColor="text1"/>
                <w:sz w:val="21"/>
                <w:szCs w:val="21"/>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6"/>
              </w:numPr>
              <w:kinsoku/>
              <w:wordWrap/>
              <w:overflowPunct/>
              <w:topLinePunct w:val="0"/>
              <w:autoSpaceDE/>
              <w:autoSpaceDN/>
              <w:bidi w:val="0"/>
              <w:adjustRightInd/>
              <w:snapToGrid/>
              <w:spacing w:line="360" w:lineRule="exact"/>
              <w:ind w:left="105" w:leftChars="0" w:hanging="105" w:hangingChars="50"/>
              <w:textAlignment w:val="auto"/>
              <w:rPr>
                <w:rFonts w:hint="eastAsia" w:ascii="宋体" w:hAnsi="宋体"/>
                <w:b/>
                <w:sz w:val="21"/>
                <w:szCs w:val="21"/>
              </w:rPr>
            </w:pPr>
            <w:r>
              <w:rPr>
                <w:rFonts w:hint="eastAsia" w:ascii="宋体" w:hAnsi="宋体"/>
                <w:b/>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6"/>
              </w:numPr>
              <w:kinsoku/>
              <w:wordWrap/>
              <w:overflowPunct/>
              <w:topLinePunct w:val="0"/>
              <w:autoSpaceDE/>
              <w:autoSpaceDN/>
              <w:bidi w:val="0"/>
              <w:adjustRightInd/>
              <w:snapToGrid/>
              <w:spacing w:line="360" w:lineRule="exact"/>
              <w:ind w:left="105" w:leftChars="0" w:hanging="105" w:hangingChars="50"/>
              <w:textAlignment w:val="auto"/>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rPr>
              <w:t>上次审核</w:t>
            </w:r>
            <w:r>
              <w:rPr>
                <w:rFonts w:hint="eastAsia"/>
                <w:color w:val="auto"/>
                <w:sz w:val="21"/>
                <w:szCs w:val="21"/>
                <w:lang w:val="en-US" w:eastAsia="zh-CN"/>
              </w:rPr>
              <w:t>未</w:t>
            </w:r>
            <w:r>
              <w:rPr>
                <w:rFonts w:hint="eastAsia"/>
                <w:color w:val="auto"/>
                <w:sz w:val="21"/>
                <w:szCs w:val="21"/>
              </w:rPr>
              <w:t>发现不符合项</w:t>
            </w:r>
            <w:r>
              <w:rPr>
                <w:rFonts w:hint="eastAsia"/>
                <w:color w:val="auto"/>
                <w:sz w:val="21"/>
                <w:szCs w:val="21"/>
                <w:lang w:val="en-US" w:eastAsia="zh-CN"/>
              </w:rPr>
              <w:t>。</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b/>
                <w:spacing w:val="-10"/>
                <w:szCs w:val="21"/>
              </w:rPr>
            </w:pPr>
            <w:r>
              <w:rPr>
                <w:rFonts w:hint="eastAsia" w:ascii="宋体" w:hAnsi="宋体"/>
                <w:b/>
                <w:szCs w:val="21"/>
              </w:rPr>
              <w:t>影响本次审核结论可靠性的因素</w:t>
            </w:r>
          </w:p>
        </w:tc>
        <w:tc>
          <w:tcPr>
            <w:tcW w:w="4712"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493" w:firstLineChars="223"/>
              <w:textAlignment w:val="auto"/>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493" w:firstLineChars="223"/>
              <w:textAlignment w:val="auto"/>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493" w:firstLineChars="223"/>
              <w:textAlignment w:val="auto"/>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keepNext w:val="0"/>
              <w:keepLines w:val="0"/>
              <w:pageBreakBefore w:val="0"/>
              <w:widowControl w:val="0"/>
              <w:kinsoku/>
              <w:wordWrap/>
              <w:overflowPunct/>
              <w:topLinePunct w:val="0"/>
              <w:autoSpaceDE/>
              <w:autoSpaceDN/>
              <w:bidi w:val="0"/>
              <w:adjustRightInd/>
              <w:snapToGrid w:val="0"/>
              <w:spacing w:line="240" w:lineRule="exact"/>
              <w:ind w:left="-211" w:leftChars="-88" w:firstLine="537" w:firstLineChars="223"/>
              <w:textAlignment w:val="auto"/>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tabs>
          <w:tab w:val="left" w:pos="645"/>
        </w:tabs>
        <w:spacing w:after="163" w:afterLines="50" w:line="360" w:lineRule="exact"/>
        <w:ind w:firstLine="522" w:firstLineChars="200"/>
        <w:rPr>
          <w:rFonts w:hint="eastAsia"/>
          <w:b/>
          <w:sz w:val="26"/>
          <w:szCs w:val="26"/>
        </w:rPr>
      </w:pPr>
      <w:r>
        <w:rPr>
          <w:rFonts w:hint="eastAsia"/>
          <w:b/>
          <w:sz w:val="26"/>
          <w:szCs w:val="26"/>
        </w:rPr>
        <w:t>本次审核共开具不符合项报告</w:t>
      </w:r>
      <w:r>
        <w:rPr>
          <w:rFonts w:hint="eastAsia"/>
          <w:b/>
          <w:sz w:val="26"/>
          <w:szCs w:val="26"/>
          <w:u w:val="single"/>
          <w:lang w:val="en-US" w:eastAsia="zh-CN"/>
        </w:rPr>
        <w:t>1</w:t>
      </w:r>
      <w:r>
        <w:rPr>
          <w:rFonts w:hint="eastAsia"/>
          <w:b/>
          <w:sz w:val="26"/>
          <w:szCs w:val="26"/>
        </w:rPr>
        <w:t>项</w:t>
      </w:r>
      <w:r>
        <w:rPr>
          <w:rFonts w:hint="eastAsia"/>
          <w:b/>
          <w:sz w:val="26"/>
          <w:szCs w:val="26"/>
          <w:lang w:eastAsia="zh-CN"/>
        </w:rPr>
        <w:t>：</w:t>
      </w:r>
      <w:r>
        <w:rPr>
          <w:rFonts w:hint="eastAsia"/>
          <w:b/>
          <w:sz w:val="26"/>
          <w:szCs w:val="26"/>
        </w:rPr>
        <w:t>其中</w:t>
      </w:r>
      <w:r>
        <w:pict>
          <v:line id="直接连接符 1" o:spid="_x0000_s1029"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b/>
          <w:sz w:val="26"/>
          <w:szCs w:val="26"/>
        </w:rPr>
        <w:t>严重不符合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项，一般不符合</w:t>
      </w:r>
      <w:r>
        <w:rPr>
          <w:b/>
          <w:sz w:val="26"/>
          <w:szCs w:val="26"/>
          <w:u w:val="single"/>
        </w:rPr>
        <w:t xml:space="preserve">  </w:t>
      </w:r>
      <w:r>
        <w:rPr>
          <w:rFonts w:hint="eastAsia"/>
          <w:b/>
          <w:sz w:val="26"/>
          <w:szCs w:val="26"/>
          <w:u w:val="single"/>
          <w:lang w:val="en-US" w:eastAsia="zh-CN"/>
        </w:rPr>
        <w:t>1</w:t>
      </w:r>
      <w:r>
        <w:rPr>
          <w:b/>
          <w:sz w:val="26"/>
          <w:szCs w:val="26"/>
          <w:u w:val="single"/>
        </w:rPr>
        <w:t xml:space="preserve">  </w:t>
      </w:r>
      <w:r>
        <w:rPr>
          <w:rFonts w:hint="eastAsia"/>
          <w:b/>
          <w:sz w:val="26"/>
          <w:szCs w:val="26"/>
        </w:rPr>
        <w:t>项，观察项</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w:t>
      </w:r>
      <w:r>
        <w:rPr>
          <w:rFonts w:hint="eastAsia"/>
          <w:b/>
          <w:sz w:val="26"/>
          <w:szCs w:val="26"/>
          <w:lang w:val="en-US" w:eastAsia="zh-CN"/>
        </w:rPr>
        <w:t>见不符合项分布表，</w:t>
      </w:r>
      <w:r>
        <w:rPr>
          <w:b/>
          <w:sz w:val="26"/>
          <w:szCs w:val="26"/>
        </w:rPr>
        <w:t>Q/J/E/S</w:t>
      </w:r>
      <w:r>
        <w:rPr>
          <w:rFonts w:hint="eastAsia"/>
          <w:b/>
          <w:sz w:val="26"/>
          <w:szCs w:val="26"/>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3" w:hRule="atLeast"/>
          <w:jc w:val="center"/>
        </w:trPr>
        <w:tc>
          <w:tcPr>
            <w:tcW w:w="952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EMS</w:t>
            </w:r>
            <w:r>
              <w:rPr>
                <w:rFonts w:hint="eastAsia" w:ascii="宋体" w:hAnsi="宋体"/>
                <w:b/>
                <w:szCs w:val="21"/>
                <w:lang w:eastAsia="zh-CN"/>
              </w:rPr>
              <w:t>☑</w:t>
            </w:r>
            <w:r>
              <w:rPr>
                <w:rFonts w:ascii="宋体" w:hAnsi="宋体"/>
                <w:b/>
                <w:szCs w:val="21"/>
              </w:rPr>
              <w:t>OHSMS</w:t>
            </w:r>
            <w:r>
              <w:rPr>
                <w:rFonts w:hint="eastAsia"/>
                <w:b/>
                <w:sz w:val="26"/>
                <w:szCs w:val="26"/>
                <w:lang w:val="en-US" w:eastAsia="zh-CN"/>
              </w:rPr>
              <w:t>具有</w:t>
            </w:r>
            <w:r>
              <w:rPr>
                <w:rFonts w:hint="eastAsia"/>
                <w:b/>
                <w:sz w:val="26"/>
                <w:szCs w:val="26"/>
              </w:rPr>
              <w:t>适宜性、充分性、有效性，自我完善机制等，管理体系满足适用要求和实现预期结果的能力</w:t>
            </w:r>
            <w:r>
              <w:rPr>
                <w:rFonts w:hint="eastAsia" w:ascii="宋体" w:hAnsi="宋体"/>
                <w:b/>
                <w:szCs w:val="21"/>
              </w:rPr>
              <w:t>。</w:t>
            </w:r>
          </w:p>
          <w:p>
            <w:pPr>
              <w:pStyle w:val="15"/>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b/>
                <w:color w:val="000000"/>
                <w:sz w:val="22"/>
                <w:szCs w:val="22"/>
                <w:u w:val="single"/>
                <w:lang w:eastAsia="zh-CN"/>
              </w:rPr>
              <w:t>饶阳县路胜铁路信号器材有限公司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val="en-US" w:eastAsia="zh-CN"/>
              </w:rPr>
              <w:t xml:space="preserve"> </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val="en-US" w:eastAsia="zh-CN"/>
              </w:rPr>
              <w:t xml:space="preserve"> </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tabs>
          <w:tab w:val="left" w:pos="645"/>
        </w:tabs>
        <w:spacing w:after="163" w:afterLines="50" w:line="360" w:lineRule="exact"/>
        <w:rPr>
          <w:rFonts w:hint="eastAsia" w:ascii="Times New Roman" w:hAnsi="Times New Roman" w:cs="Times New Roman"/>
          <w:b/>
          <w:sz w:val="26"/>
          <w:szCs w:val="26"/>
        </w:rPr>
      </w:pPr>
    </w:p>
    <w:p>
      <w:pPr>
        <w:tabs>
          <w:tab w:val="left" w:pos="645"/>
        </w:tabs>
        <w:spacing w:after="163" w:afterLines="50" w:line="360" w:lineRule="exact"/>
        <w:rPr>
          <w:rFonts w:hint="eastAsia" w:ascii="Times New Roman" w:hAnsi="Times New Roman" w:cs="Times New Roman"/>
          <w:b/>
          <w:sz w:val="26"/>
          <w:szCs w:val="26"/>
        </w:rPr>
      </w:pPr>
      <w:r>
        <w:rPr>
          <w:rFonts w:hint="eastAsia" w:ascii="Times New Roman" w:hAnsi="Times New Roman" w:cs="Times New Roman"/>
          <w:b/>
          <w:sz w:val="26"/>
          <w:szCs w:val="26"/>
        </w:rPr>
        <w:t>十一、任何影响审核方案的重要事项</w:t>
      </w:r>
    </w:p>
    <w:p>
      <w:pPr>
        <w:tabs>
          <w:tab w:val="left" w:pos="645"/>
        </w:tabs>
        <w:spacing w:after="163" w:afterLines="50" w:line="360" w:lineRule="exact"/>
        <w:rPr>
          <w:rFonts w:hint="eastAsia"/>
          <w:b/>
          <w:sz w:val="26"/>
          <w:szCs w:val="26"/>
        </w:rPr>
      </w:pPr>
    </w:p>
    <w:p>
      <w:pPr>
        <w:pStyle w:val="2"/>
        <w:rPr>
          <w:rFonts w:hint="eastAsia"/>
          <w:b/>
          <w:sz w:val="26"/>
          <w:szCs w:val="26"/>
        </w:rPr>
      </w:pPr>
    </w:p>
    <w:p>
      <w:pPr>
        <w:pStyle w:val="2"/>
        <w:rPr>
          <w:rFonts w:hint="eastAsia"/>
          <w:b/>
          <w:sz w:val="26"/>
          <w:szCs w:val="26"/>
        </w:rPr>
      </w:pPr>
    </w:p>
    <w:p>
      <w:pPr>
        <w:tabs>
          <w:tab w:val="left" w:pos="645"/>
        </w:tabs>
        <w:spacing w:after="163" w:afterLines="50" w:line="360" w:lineRule="exact"/>
        <w:rPr>
          <w:b/>
          <w:sz w:val="16"/>
          <w:szCs w:val="16"/>
        </w:rPr>
      </w:pPr>
      <w:r>
        <w:drawing>
          <wp:anchor distT="0" distB="0" distL="114300" distR="114300" simplePos="0" relativeHeight="251661312" behindDoc="0" locked="0" layoutInCell="1" allowOverlap="1">
            <wp:simplePos x="0" y="0"/>
            <wp:positionH relativeFrom="column">
              <wp:posOffset>1647190</wp:posOffset>
            </wp:positionH>
            <wp:positionV relativeFrom="paragraph">
              <wp:posOffset>92075</wp:posOffset>
            </wp:positionV>
            <wp:extent cx="1156335" cy="467995"/>
            <wp:effectExtent l="0" t="0" r="12065"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rFonts w:hint="eastAsia"/>
          <w:b/>
          <w:sz w:val="21"/>
        </w:rPr>
      </w:pPr>
      <w:r>
        <w:drawing>
          <wp:anchor distT="0" distB="0" distL="114300" distR="114300" simplePos="0" relativeHeight="251663360" behindDoc="0" locked="0" layoutInCell="1" allowOverlap="1">
            <wp:simplePos x="0" y="0"/>
            <wp:positionH relativeFrom="column">
              <wp:posOffset>1633220</wp:posOffset>
            </wp:positionH>
            <wp:positionV relativeFrom="paragraph">
              <wp:posOffset>247015</wp:posOffset>
            </wp:positionV>
            <wp:extent cx="1358900" cy="463550"/>
            <wp:effectExtent l="0" t="0" r="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358900" cy="463550"/>
                    </a:xfrm>
                    <a:prstGeom prst="rect">
                      <a:avLst/>
                    </a:prstGeom>
                    <a:noFill/>
                    <a:ln>
                      <a:noFill/>
                    </a:ln>
                  </pic:spPr>
                </pic:pic>
              </a:graphicData>
            </a:graphic>
          </wp:anchor>
        </w:drawing>
      </w:r>
    </w:p>
    <w:p>
      <w:pPr>
        <w:snapToGrid w:val="0"/>
        <w:spacing w:before="163" w:beforeLines="50" w:line="320" w:lineRule="exact"/>
        <w:ind w:firstLine="527" w:firstLineChars="250"/>
        <w:rPr>
          <w:rFonts w:hint="eastAsia" w:eastAsia="宋体"/>
          <w:b/>
          <w:sz w:val="21"/>
          <w:lang w:val="en-US" w:eastAsia="zh-CN"/>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2021年5月16日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eastAsia"/>
          <w:b/>
          <w:sz w:val="21"/>
          <w:szCs w:val="21"/>
        </w:rPr>
      </w:pPr>
      <w:r>
        <w:drawing>
          <wp:anchor distT="0" distB="0" distL="114300" distR="114300" simplePos="0" relativeHeight="251662336" behindDoc="0" locked="0" layoutInCell="1" allowOverlap="1">
            <wp:simplePos x="0" y="0"/>
            <wp:positionH relativeFrom="column">
              <wp:posOffset>1197610</wp:posOffset>
            </wp:positionH>
            <wp:positionV relativeFrom="paragraph">
              <wp:posOffset>145415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日期：2021年5月18日</w:t>
      </w:r>
    </w:p>
    <w:p>
      <w:pPr>
        <w:ind w:left="783" w:hanging="783" w:hangingChars="300"/>
        <w:rPr>
          <w:rFonts w:hint="eastAsia"/>
          <w:b/>
          <w:sz w:val="26"/>
          <w:szCs w:val="26"/>
        </w:rPr>
      </w:pP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bookmarkStart w:id="14" w:name="_GoBack"/>
      <w:bookmarkEnd w:id="14"/>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napToGrid w:val="0"/>
        <w:jc w:val="left"/>
        <w:rPr>
          <w:rFonts w:hint="eastAsia" w:ascii="宋体" w:hAnsi="宋体"/>
          <w:b/>
          <w:sz w:val="26"/>
          <w:szCs w:val="26"/>
        </w:rPr>
      </w:pPr>
    </w:p>
    <w:p>
      <w:pPr>
        <w:snapToGrid w:val="0"/>
        <w:jc w:val="left"/>
        <w:rPr>
          <w:rFonts w:ascii="方正仿宋简体" w:eastAsia="方正仿宋简体"/>
          <w:b/>
        </w:rPr>
      </w:pPr>
      <w:r>
        <w:rPr>
          <w:rFonts w:hint="eastAsia" w:ascii="宋体" w:hAnsi="宋体"/>
          <w:b/>
          <w:sz w:val="26"/>
          <w:szCs w:val="26"/>
        </w:rPr>
        <w:t>十八、</w:t>
      </w:r>
      <w:r>
        <w:rPr>
          <w:rFonts w:hint="eastAsia" w:ascii="宋体" w:hAnsi="宋体" w:cs="Times New Roman"/>
          <w:b/>
          <w:sz w:val="26"/>
          <w:szCs w:val="26"/>
        </w:rPr>
        <w:t>审核基于对可获得信息的抽样过程的免责声明</w:t>
      </w: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1440" w:right="1077" w:bottom="1440" w:left="1083"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147892F"/>
    <w:multiLevelType w:val="singleLevel"/>
    <w:tmpl w:val="0147892F"/>
    <w:lvl w:ilvl="0" w:tentative="0">
      <w:start w:val="4"/>
      <w:numFmt w:val="chineseCounting"/>
      <w:suff w:val="nothing"/>
      <w:lvlText w:val="%1、"/>
      <w:lvlJc w:val="left"/>
      <w:rPr>
        <w:rFonts w:hint="eastAsia"/>
      </w:rPr>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3471C2E"/>
    <w:multiLevelType w:val="singleLevel"/>
    <w:tmpl w:val="63471C2E"/>
    <w:lvl w:ilvl="0" w:tentative="0">
      <w:start w:val="9"/>
      <w:numFmt w:val="decimal"/>
      <w:suff w:val="space"/>
      <w:lvlText w:val="%1."/>
      <w:lvlJc w:val="left"/>
    </w:lvl>
  </w:abstractNum>
  <w:abstractNum w:abstractNumId="8">
    <w:nsid w:val="7BC294AD"/>
    <w:multiLevelType w:val="singleLevel"/>
    <w:tmpl w:val="7BC294AD"/>
    <w:lvl w:ilvl="0" w:tentative="0">
      <w:start w:val="5"/>
      <w:numFmt w:val="decimal"/>
      <w:suff w:val="space"/>
      <w:lvlText w:val="%1."/>
      <w:lvlJc w:val="left"/>
    </w:lvl>
  </w:abstractNum>
  <w:num w:numId="1">
    <w:abstractNumId w:val="3"/>
  </w:num>
  <w:num w:numId="2">
    <w:abstractNumId w:val="1"/>
  </w:num>
  <w:num w:numId="3">
    <w:abstractNumId w:val="5"/>
  </w:num>
  <w:num w:numId="4">
    <w:abstractNumId w:val="7"/>
  </w:num>
  <w:num w:numId="5">
    <w:abstractNumId w:val="0"/>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83496C"/>
    <w:rsid w:val="07CE3C70"/>
    <w:rsid w:val="0B2F52B6"/>
    <w:rsid w:val="208D1904"/>
    <w:rsid w:val="23952F5C"/>
    <w:rsid w:val="2ABC03B3"/>
    <w:rsid w:val="307E4998"/>
    <w:rsid w:val="337355BA"/>
    <w:rsid w:val="671022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2019-04-18T08:15:00Z</cp:lastPrinted>
  <dcterms:modified xsi:type="dcterms:W3CDTF">2021-05-16T08:20:28Z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D2D810AB3588462DBBC442DD400B57A3</vt:lpwstr>
  </property>
</Properties>
</file>