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-554990</wp:posOffset>
            </wp:positionH>
            <wp:positionV relativeFrom="paragraph">
              <wp:posOffset>-843280</wp:posOffset>
            </wp:positionV>
            <wp:extent cx="7529195" cy="10457815"/>
            <wp:effectExtent l="0" t="0" r="1905" b="6985"/>
            <wp:wrapNone/>
            <wp:docPr id="1" name="图片 1" descr="扫描全能王 2021-05-24 08.2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24 08.22_8"/>
                    <pic:cNvPicPr>
                      <a:picLocks noChangeAspect="1"/>
                    </pic:cNvPicPr>
                  </pic:nvPicPr>
                  <pic:blipFill>
                    <a:blip r:embed="rId6"/>
                    <a:stretch>
                      <a:fillRect/>
                    </a:stretch>
                  </pic:blipFill>
                  <pic:spPr>
                    <a:xfrm>
                      <a:off x="0" y="0"/>
                      <a:ext cx="7529195" cy="1045781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陕西鑫联仪器仪表有限公司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2021.5.6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C57378"/>
    <w:rsid w:val="68783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2021-05-25T02:15:35Z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9DEB605D04164398B298A1C2BAB7565C</vt:lpwstr>
  </property>
</Properties>
</file>