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Autospacing="0" w:after="0" w:afterAutospacing="0" w:line="240" w:lineRule="auto"/>
        <w:jc w:val="center"/>
        <w:textAlignment w:val="baseline"/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现场审核前专业培训记录</w:t>
      </w:r>
    </w:p>
    <w:p>
      <w:pPr>
        <w:tabs>
          <w:tab w:val="center" w:pos="4213"/>
          <w:tab w:val="left" w:pos="6964"/>
        </w:tabs>
        <w:snapToGrid/>
        <w:spacing w:before="0" w:beforeAutospacing="0" w:after="312" w:afterAutospacing="1" w:line="280" w:lineRule="exact"/>
        <w:jc w:val="left"/>
        <w:textAlignment w:val="baseline"/>
        <w:rPr>
          <w:rStyle w:val="6"/>
          <w:rFonts w:eastAsia="仿宋_GB2312"/>
          <w:b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（CAC-JL-E05）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ab/>
      </w:r>
    </w:p>
    <w:p>
      <w:pPr>
        <w:snapToGrid w:val="0"/>
        <w:spacing w:before="0" w:beforeAutospacing="0" w:after="156" w:afterAutospacing="0" w:line="32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审核领域：□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QMS</w:t>
      </w: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□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EMS </w:t>
      </w: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□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OHSMS </w:t>
      </w: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☑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EnMS</w:t>
      </w:r>
    </w:p>
    <w:tbl>
      <w:tblPr>
        <w:tblStyle w:val="4"/>
        <w:tblW w:w="996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378"/>
        <w:gridCol w:w="3036"/>
        <w:gridCol w:w="1369"/>
        <w:gridCol w:w="22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93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受审核方</w:t>
            </w:r>
          </w:p>
        </w:tc>
        <w:tc>
          <w:tcPr>
            <w:tcW w:w="802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left="52"/>
              <w:jc w:val="both"/>
              <w:textAlignment w:val="baseline"/>
              <w:rPr>
                <w:rStyle w:val="6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  <w:t xml:space="preserve">             贵州国塑科技管业有限责任公司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9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培训人员签字</w:t>
            </w:r>
          </w:p>
        </w:tc>
        <w:tc>
          <w:tcPr>
            <w:tcW w:w="4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田景发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专业代码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EnMS：</w:t>
            </w: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Style w:val="6"/>
                <w:rFonts w:hint="eastAsia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9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接受培训</w:t>
            </w:r>
          </w:p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人员签字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pict>
                <v:shape id="_x0000_s1029" o:spid="_x0000_s1029" o:spt="75" type="#_x0000_t75" style="position:absolute;left:0pt;margin-left:60.5pt;margin-top:0.8pt;height:33.7pt;width:37.85pt;mso-wrap-distance-bottom:0pt;mso-wrap-distance-left:9pt;mso-wrap-distance-right:9pt;mso-wrap-distance-top:0pt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r:id="rId5" blacklevel="11796f" o:title="1553999692(1)"/>
                  <o:lock v:ext="edit" aspectratio="t"/>
                  <w10:wrap type="square"/>
                </v:shape>
              </w:pic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9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审核组长签字</w:t>
            </w:r>
          </w:p>
        </w:tc>
        <w:tc>
          <w:tcPr>
            <w:tcW w:w="4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pict>
                <v:shape id="_x0000_s1026" o:spid="_x0000_s1026" o:spt="75" type="#_x0000_t75" style="position:absolute;left:0pt;margin-left:28.9pt;margin-top:-0.05pt;height:33.7pt;width:37.85pt;mso-wrap-distance-bottom:0pt;mso-wrap-distance-left:9pt;mso-wrap-distance-right:9pt;mso-wrap-distance-top:0pt;z-index:251659264;mso-width-relative:page;mso-height-relative:page;" filled="f" stroked="f" coordsize="21600,21600">
                  <v:path/>
                  <v:fill on="f" focussize="0,0"/>
                  <v:stroke on="f"/>
                  <v:imagedata r:id="rId5" blacklevel="11796f" o:title="1553999692(1)"/>
                  <o:lock v:ext="edit" aspectratio="t"/>
                  <w10:wrap type="square"/>
                </v:shape>
              </w:pic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2021.4.26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96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培训内容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6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1.生产/工艺/服务过程流程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2.必备的主要生产设备、设施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3.人员能力及资格要求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4.运行环境要求</w:t>
            </w:r>
          </w:p>
        </w:tc>
        <w:tc>
          <w:tcPr>
            <w:tcW w:w="6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工艺操作流程：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管材生产流程：各类原材料按配方配比→高速混料机混料→混好的混配料放入挤出机→高温塑化挤出→冷却定径→喷码标识→牵引→定长切割→检验→包装→入库堆放；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管件生产流程：各类原材料按配方配比→混料机混料→（PVC管件混配料需要造粒）→混好的混配料（造粒料）放入注塑机→高温塑化注塑→冷却→检验→包装→入库堆放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主要耗能设备：挤出机、注塑机、混料机、破碎机、真空箱、牵引机、切割机、喷码机、空压机、水泵、行车、检测设备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人员能力及资格要求；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在塑料管业行业工作多年，有注塑经验的员工。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eastAsia="黑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工作环境要求：符合体系要求及法定要求。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5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*需确认的过程/关键过程（适用QMS）的识别及控制措施分析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*重要环境因素（适用EMS）的识别及控制措施分析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*不可接受风险（适用OHSMS）的识别及控制措施分析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*能耗种类及能耗影响等（适用EnMS）的识别及控制措施分析</w:t>
            </w:r>
          </w:p>
        </w:tc>
        <w:tc>
          <w:tcPr>
            <w:tcW w:w="6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能耗种类：电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控制措施：⑴对挤出机、注塑机、混料机、配套设施及生产区域的用电设备进行管理 ，做到随走随关。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（2）1、采用变频技术，2、做到及时关机来进行节能降耗。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*检验试验要求（适用QMS）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*质量/环境/安全/能耗等监测要求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*主要检测设备</w:t>
            </w:r>
          </w:p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*其他要求</w:t>
            </w:r>
          </w:p>
        </w:tc>
        <w:tc>
          <w:tcPr>
            <w:tcW w:w="6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能耗等监测要求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：电力消耗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主要检测设备：电能表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需要执行的产品标准/主要法律法规及其他要求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能源能耗限额</w:t>
            </w:r>
          </w:p>
        </w:tc>
        <w:tc>
          <w:tcPr>
            <w:tcW w:w="6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widowControl/>
              <w:snapToGrid/>
              <w:spacing w:before="181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、《中华人民共和国电力法》</w:t>
            </w:r>
          </w:p>
          <w:p>
            <w:pPr>
              <w:pStyle w:val="9"/>
              <w:widowControl/>
              <w:snapToGrid/>
              <w:spacing w:before="70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-1"/>
                <w:w w:val="100"/>
                <w:kern w:val="2"/>
                <w:sz w:val="21"/>
                <w:szCs w:val="22"/>
                <w:lang w:val="zh-CN" w:eastAsia="zh-CN" w:bidi="zh-CN"/>
              </w:rPr>
              <w:t>2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3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、《中华人民共和国节约能源法》</w:t>
            </w:r>
          </w:p>
          <w:p>
            <w:pPr>
              <w:pStyle w:val="9"/>
              <w:widowControl/>
              <w:snapToGrid/>
              <w:spacing w:before="71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-1"/>
                <w:w w:val="100"/>
                <w:kern w:val="2"/>
                <w:sz w:val="21"/>
                <w:szCs w:val="22"/>
                <w:lang w:val="zh-CN" w:eastAsia="zh-CN" w:bidi="zh-CN"/>
              </w:rPr>
              <w:t>3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3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、《中华人民共和国清洁生产法》</w:t>
            </w:r>
          </w:p>
          <w:p>
            <w:pPr>
              <w:pStyle w:val="9"/>
              <w:widowControl/>
              <w:snapToGrid/>
              <w:spacing w:before="72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4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、《中华人民共和国可再生能源法》</w:t>
            </w:r>
          </w:p>
          <w:p>
            <w:pPr>
              <w:pStyle w:val="9"/>
              <w:widowControl/>
              <w:snapToGrid/>
              <w:spacing w:before="69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5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、《国家重点节能技术推广目录（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 xml:space="preserve">1-6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批）》</w:t>
            </w:r>
          </w:p>
          <w:p>
            <w:pPr>
              <w:pStyle w:val="9"/>
              <w:widowControl/>
              <w:snapToGrid/>
              <w:spacing w:before="71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6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、《企业节能量计算方法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 13234-20</w:t>
            </w:r>
            <w:r>
              <w:rPr>
                <w:rStyle w:val="6"/>
                <w:rFonts w:hint="eastAsia" w:ascii="Times New Roman" w:eastAsia="Times New Roman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18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</w:p>
          <w:p>
            <w:pPr>
              <w:pStyle w:val="9"/>
              <w:widowControl/>
              <w:snapToGrid/>
              <w:spacing w:before="72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7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、《企业能量平衡统计方法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 16614-1996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</w:p>
          <w:p>
            <w:pPr>
              <w:pStyle w:val="9"/>
              <w:widowControl/>
              <w:snapToGrid/>
              <w:spacing w:before="69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8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 xml:space="preserve">、《企业能量平衡表编制方法 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 28751-2012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  <w:bookmarkStart w:id="0" w:name="_GoBack"/>
            <w:bookmarkEnd w:id="0"/>
          </w:p>
          <w:p>
            <w:pPr>
              <w:pStyle w:val="9"/>
              <w:widowControl/>
              <w:snapToGrid/>
              <w:spacing w:before="72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9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、企业能源平衡通则（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GB3484-2009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  <w:p>
            <w:pPr>
              <w:pStyle w:val="9"/>
              <w:widowControl/>
              <w:snapToGrid/>
              <w:spacing w:before="72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0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、节能监测技术通则（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GB/T15316-2009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  <w:p>
            <w:pPr>
              <w:pStyle w:val="9"/>
              <w:widowControl/>
              <w:snapToGrid/>
              <w:spacing w:before="70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1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、电力变压器经济运行（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GB13462-2008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  <w:p>
            <w:pPr>
              <w:pStyle w:val="9"/>
              <w:widowControl/>
              <w:snapToGrid/>
              <w:spacing w:before="71" w:beforeAutospacing="0" w:after="0" w:afterAutospacing="0" w:line="240" w:lineRule="auto"/>
              <w:ind w:left="107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6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2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、用能单位能源计量器具配备与管理通则（</w:t>
            </w:r>
            <w:r>
              <w:rPr>
                <w:rStyle w:val="6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GB/T17167-2006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其它相关知识</w:t>
            </w:r>
          </w:p>
        </w:tc>
        <w:tc>
          <w:tcPr>
            <w:tcW w:w="6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eastAsia="黑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tabs>
        <w:tab w:val="left" w:pos="8910"/>
        <w:tab w:val="left" w:pos="9045"/>
      </w:tabs>
      <w:snapToGrid w:val="0"/>
      <w:spacing w:line="320" w:lineRule="exact"/>
      <w:ind w:left="624" w:leftChars="297"/>
      <w:jc w:val="left"/>
      <w:textAlignment w:val="baseline"/>
      <w:rPr>
        <w:rStyle w:val="8"/>
        <w:rFonts w:ascii="宋体" w:hAnsi="Courier New" w:eastAsia="宋体"/>
        <w:w w:val="90"/>
        <w:kern w:val="2"/>
        <w:sz w:val="21"/>
        <w:szCs w:val="22"/>
        <w:lang w:val="en-US" w:eastAsia="zh-CN" w:bidi="ar-SA"/>
      </w:rPr>
    </w:pPr>
    <w:r>
      <w:rPr>
        <w:rStyle w:val="6"/>
        <w:kern w:val="2"/>
        <w:sz w:val="18"/>
        <w:szCs w:val="22"/>
        <w:lang w:val="en-US" w:eastAsia="zh-CN" w:bidi="ar-SA"/>
      </w:rPr>
      <w:pict>
        <v:shape id="_x0000_s2049" o:spid="_x0000_s2049" o:spt="202" type="#_x0000_t202" style="position:absolute;left:0pt;margin-left:320.05pt;margin-top:9.9pt;height:20.2pt;width:120.25pt;z-index:251660288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/>
          <v:textbox>
            <w:txbxContent>
              <w:p>
                <w:pPr>
                  <w:jc w:val="both"/>
                  <w:textAlignment w:val="baseline"/>
                  <w:rPr>
                    <w:rStyle w:val="6"/>
                    <w:kern w:val="2"/>
                    <w:sz w:val="21"/>
                    <w:szCs w:val="22"/>
                    <w:lang w:val="en-US" w:eastAsia="zh-CN" w:bidi="ar-SA"/>
                  </w:rPr>
                </w:pPr>
                <w:r>
                  <w:rPr>
                    <w:rStyle w:val="6"/>
                    <w:kern w:val="2"/>
                    <w:sz w:val="18"/>
                    <w:szCs w:val="18"/>
                    <w:lang w:val="en-US" w:eastAsia="zh-CN" w:bidi="ar-SA"/>
                  </w:rPr>
                  <w:t>ISC-B-I-22审核计划(03版)</w:t>
                </w:r>
              </w:p>
              <w:p>
                <w:pPr>
                  <w:jc w:val="both"/>
                  <w:textAlignment w:val="baseline"/>
                  <w:rPr>
                    <w:rStyle w:val="6"/>
                    <w:kern w:val="2"/>
                    <w:sz w:val="21"/>
                    <w:szCs w:val="22"/>
                    <w:lang w:val="en-US" w:eastAsia="zh-CN" w:bidi="ar-SA"/>
                  </w:rPr>
                </w:pPr>
              </w:p>
            </w:txbxContent>
          </v:textbox>
        </v:shape>
      </w:pict>
    </w:r>
    <w:r>
      <w:rPr>
        <w:rStyle w:val="6"/>
        <w:kern w:val="2"/>
        <w:sz w:val="18"/>
        <w:szCs w:val="22"/>
        <w:lang w:val="en-US" w:eastAsia="zh-CN" w:bidi="ar-SA"/>
      </w:rPr>
      <w:pict>
        <v:shape id="_x0000_s2052" o:spid="_x0000_s2052" o:spt="75" type="#_x0000_t75" style="position:absolute;left:0pt;margin-left:0.4pt;margin-top:0.35pt;height:34.1pt;width:31.85pt;mso-wrap-distance-left:9pt;mso-wrap-distance-right:9pt;z-index:-251655168;mso-width-relative:page;mso-height-relative:page;" filled="f" stroked="f" coordsize="21600,21600" wrapcoords="21592 -2 0 0 0 21600 21592 21602 8 21602 21600 21600 21600 0 8 -2 21592 -2">
          <v:path/>
          <v:fill on="f" focussize="0,0"/>
          <v:stroke on="f"/>
          <v:imagedata r:id="rId1" o:title=""/>
          <o:lock v:ext="edit" aspectratio="t"/>
          <w10:wrap type="tight"/>
        </v:shape>
      </w:pict>
    </w:r>
    <w:r>
      <w:rPr>
        <w:rStyle w:val="6"/>
        <w:kern w:val="2"/>
        <w:sz w:val="18"/>
        <w:szCs w:val="22"/>
        <w:lang w:val="en-US" w:eastAsia="zh-CN" w:bidi="ar-SA"/>
      </w:rPr>
      <w:pict>
        <v:line id="_x0000_s2050" o:spid="_x0000_s2050" o:spt="20" style="position:absolute;left:0pt;margin-left:-40.6pt;margin-top:34.3pt;height:0pt;width:496pt;z-index:251659264;mso-width-relative:page;mso-height-relative:page;" filled="f" coordsize="21600,21600">
          <v:path arrowok="t"/>
          <v:fill on="f" focussize="0,0"/>
          <v:stroke weight="0.5pt"/>
          <v:imagedata o:title=""/>
          <o:lock v:ext="edit"/>
        </v:line>
      </w:pict>
    </w:r>
    <w:r>
      <w:rPr>
        <w:rStyle w:val="8"/>
        <w:rFonts w:ascii="宋体" w:hAnsi="Courier New" w:eastAsia="宋体"/>
        <w:kern w:val="2"/>
        <w:sz w:val="21"/>
        <w:szCs w:val="22"/>
        <w:lang w:val="en-US" w:eastAsia="zh-CN" w:bidi="ar-SA"/>
      </w:rPr>
      <w:t>北京国标联合认证有限公司</w:t>
    </w:r>
    <w:r>
      <w:rPr>
        <w:rStyle w:val="8"/>
        <w:rFonts w:ascii="宋体" w:hAnsi="Courier New" w:eastAsia="宋体"/>
        <w:kern w:val="2"/>
        <w:sz w:val="21"/>
        <w:szCs w:val="22"/>
        <w:lang w:val="en-US" w:eastAsia="zh-CN" w:bidi="ar-SA"/>
      </w:rPr>
      <w:tab/>
    </w:r>
    <w:r>
      <w:rPr>
        <w:rStyle w:val="8"/>
        <w:rFonts w:ascii="宋体" w:hAnsi="Courier New" w:eastAsia="宋体"/>
        <w:kern w:val="2"/>
        <w:sz w:val="21"/>
        <w:szCs w:val="22"/>
        <w:lang w:val="en-US" w:eastAsia="zh-CN" w:bidi="ar-SA"/>
      </w:rPr>
      <w:tab/>
    </w:r>
  </w:p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tabs>
        <w:tab w:val="left" w:pos="8910"/>
        <w:tab w:val="left" w:pos="9045"/>
      </w:tabs>
      <w:snapToGrid w:val="0"/>
      <w:spacing w:line="320" w:lineRule="exact"/>
      <w:ind w:left="624" w:leftChars="297"/>
      <w:jc w:val="left"/>
      <w:textAlignment w:val="baseline"/>
      <w:rPr>
        <w:rStyle w:val="6"/>
        <w:rFonts w:ascii="宋体" w:hAnsi="Courier New"/>
        <w:w w:val="90"/>
        <w:kern w:val="2"/>
        <w:sz w:val="21"/>
        <w:szCs w:val="22"/>
        <w:lang w:val="en-US" w:eastAsia="zh-CN" w:bidi="ar-SA"/>
      </w:rPr>
    </w:pPr>
    <w:r>
      <w:rPr>
        <w:rStyle w:val="8"/>
        <w:rFonts w:ascii="宋体" w:hAnsi="Courier New" w:eastAsia="宋体"/>
        <w:w w:val="90"/>
        <w:kern w:val="2"/>
        <w:sz w:val="21"/>
        <w:szCs w:val="22"/>
        <w:lang w:val="en-US" w:eastAsia="zh-CN" w:bidi="ar-SA"/>
      </w:rPr>
      <w:t>Beijing International Standard united Certification Co.,Ltd.</w:t>
    </w:r>
  </w:p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ind w:firstLine="360" w:firstLineChars="200"/>
      <w:jc w:val="both"/>
      <w:textAlignment w:val="baseline"/>
      <w:rPr>
        <w:rStyle w:val="6"/>
        <w:rFonts w:eastAsia="仿宋_GB2312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AE91B99"/>
    <w:rsid w:val="383A47A0"/>
    <w:rsid w:val="3F1E6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2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1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UserStyle_1"/>
    <w:basedOn w:val="1"/>
    <w:qFormat/>
    <w:uiPriority w:val="0"/>
    <w:pPr>
      <w:spacing w:before="72"/>
      <w:ind w:left="107"/>
      <w:jc w:val="both"/>
      <w:textAlignment w:val="baseline"/>
    </w:pPr>
    <w:rPr>
      <w:rFonts w:ascii="宋体" w:hAnsi="宋体" w:eastAsia="宋体"/>
      <w:kern w:val="2"/>
      <w:sz w:val="21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0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2021-04-25T15:53:00Z</dcterms:created>
  <dc:creator>Lenovo</dc:creator>
  <cp:lastModifiedBy>Lenovo</cp:lastModifiedBy>
  <dcterms:modified xsi:type="dcterms:W3CDTF">2021-05-13T07:33:21Z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88B45EC1F16C43B18208930C36C47F7D</vt:lpwstr>
  </property>
</Properties>
</file>