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90"/>
        <w:gridCol w:w="690"/>
        <w:gridCol w:w="720"/>
        <w:gridCol w:w="149"/>
        <w:gridCol w:w="992"/>
        <w:gridCol w:w="142"/>
        <w:gridCol w:w="1559"/>
        <w:gridCol w:w="388"/>
        <w:gridCol w:w="179"/>
        <w:gridCol w:w="1134"/>
        <w:gridCol w:w="284"/>
        <w:gridCol w:w="425"/>
        <w:gridCol w:w="246"/>
        <w:gridCol w:w="179"/>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485" w:type="dxa"/>
            <w:gridSpan w:val="3"/>
            <w:vAlign w:val="center"/>
          </w:tcPr>
          <w:p>
            <w:pPr>
              <w:rPr>
                <w:sz w:val="21"/>
                <w:szCs w:val="21"/>
              </w:rPr>
            </w:pPr>
            <w:r>
              <w:rPr>
                <w:rFonts w:hint="eastAsia"/>
                <w:sz w:val="21"/>
                <w:szCs w:val="21"/>
              </w:rPr>
              <w:t>受审核方</w:t>
            </w:r>
          </w:p>
        </w:tc>
        <w:tc>
          <w:tcPr>
            <w:tcW w:w="8741" w:type="dxa"/>
            <w:gridSpan w:val="14"/>
            <w:vAlign w:val="center"/>
          </w:tcPr>
          <w:p>
            <w:pPr>
              <w:rPr>
                <w:sz w:val="21"/>
                <w:szCs w:val="21"/>
              </w:rPr>
            </w:pPr>
            <w:bookmarkStart w:id="0" w:name="组织名称"/>
            <w:r>
              <w:rPr>
                <w:sz w:val="21"/>
                <w:szCs w:val="21"/>
              </w:rPr>
              <w:t>贵州国塑科技管业有限责任公司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85" w:type="dxa"/>
            <w:gridSpan w:val="3"/>
            <w:vAlign w:val="center"/>
          </w:tcPr>
          <w:p>
            <w:pPr>
              <w:rPr>
                <w:sz w:val="21"/>
                <w:szCs w:val="21"/>
              </w:rPr>
            </w:pPr>
            <w:r>
              <w:rPr>
                <w:rFonts w:hint="eastAsia"/>
                <w:sz w:val="21"/>
                <w:szCs w:val="21"/>
              </w:rPr>
              <w:t>合同编号.</w:t>
            </w:r>
          </w:p>
        </w:tc>
        <w:tc>
          <w:tcPr>
            <w:tcW w:w="2551" w:type="dxa"/>
            <w:gridSpan w:val="4"/>
            <w:vAlign w:val="center"/>
          </w:tcPr>
          <w:p>
            <w:pPr>
              <w:rPr>
                <w:sz w:val="21"/>
                <w:szCs w:val="21"/>
              </w:rPr>
            </w:pPr>
            <w:bookmarkStart w:id="1" w:name="合同编号"/>
            <w:r>
              <w:rPr>
                <w:sz w:val="21"/>
                <w:szCs w:val="21"/>
              </w:rPr>
              <w:t>0364-2021-EnMS</w:t>
            </w:r>
            <w:bookmarkEnd w:id="1"/>
          </w:p>
        </w:tc>
        <w:tc>
          <w:tcPr>
            <w:tcW w:w="1701" w:type="dxa"/>
            <w:gridSpan w:val="2"/>
            <w:vAlign w:val="center"/>
          </w:tcPr>
          <w:p>
            <w:pPr>
              <w:rPr>
                <w:sz w:val="21"/>
                <w:szCs w:val="21"/>
              </w:rPr>
            </w:pPr>
            <w:r>
              <w:rPr>
                <w:rFonts w:hint="eastAsia"/>
                <w:sz w:val="21"/>
                <w:szCs w:val="21"/>
              </w:rPr>
              <w:t>审核领域</w:t>
            </w:r>
          </w:p>
        </w:tc>
        <w:tc>
          <w:tcPr>
            <w:tcW w:w="4489" w:type="dxa"/>
            <w:gridSpan w:val="8"/>
            <w:vAlign w:val="center"/>
          </w:tcPr>
          <w:p>
            <w:pPr>
              <w:rPr>
                <w:sz w:val="21"/>
                <w:szCs w:val="21"/>
              </w:rPr>
            </w:pPr>
            <w:bookmarkStart w:id="2" w:name="Q勾选"/>
            <w:r>
              <w:rPr>
                <w:rFonts w:hint="eastAsia"/>
                <w:sz w:val="21"/>
                <w:szCs w:val="21"/>
              </w:rPr>
              <w:t>□</w:t>
            </w:r>
            <w:bookmarkEnd w:id="2"/>
            <w:r>
              <w:rPr>
                <w:spacing w:val="-2"/>
                <w:sz w:val="21"/>
                <w:szCs w:val="21"/>
              </w:rPr>
              <w:t>QMS</w:t>
            </w:r>
            <w:bookmarkStart w:id="3" w:name="E勾选"/>
            <w:r>
              <w:rPr>
                <w:rFonts w:hint="eastAsia"/>
                <w:sz w:val="21"/>
                <w:szCs w:val="21"/>
              </w:rPr>
              <w:t>□</w:t>
            </w:r>
            <w:bookmarkEnd w:id="3"/>
            <w:r>
              <w:rPr>
                <w:spacing w:val="-2"/>
                <w:sz w:val="21"/>
                <w:szCs w:val="21"/>
              </w:rPr>
              <w:t>EMS</w:t>
            </w:r>
            <w:bookmarkStart w:id="4" w:name="S勾选"/>
            <w:r>
              <w:rPr>
                <w:rFonts w:hint="eastAsia"/>
                <w:sz w:val="21"/>
                <w:szCs w:val="21"/>
              </w:rPr>
              <w:t>□</w:t>
            </w:r>
            <w:bookmarkEnd w:id="4"/>
            <w:r>
              <w:rPr>
                <w:spacing w:val="-2"/>
                <w:sz w:val="21"/>
                <w:szCs w:val="21"/>
              </w:rPr>
              <w:t>OHSMS</w:t>
            </w:r>
            <w:r>
              <w:rPr>
                <w:rFonts w:hint="eastAsia" w:ascii="宋体" w:hAnsi="宋体" w:eastAsia="宋体" w:cs="宋体"/>
                <w:spacing w:val="-2"/>
                <w:sz w:val="21"/>
                <w:szCs w:val="21"/>
              </w:rPr>
              <w:t>■</w:t>
            </w:r>
            <w:r>
              <w:rPr>
                <w:spacing w:val="-2"/>
                <w:sz w:val="21"/>
                <w:szCs w:val="21"/>
              </w:rPr>
              <w:t>E</w:t>
            </w:r>
            <w:r>
              <w:rPr>
                <w:rFonts w:hint="eastAsia"/>
                <w:spacing w:val="-2"/>
                <w:sz w:val="21"/>
                <w:szCs w:val="21"/>
                <w:lang w:val="en-US" w:eastAsia="zh-CN"/>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85" w:type="dxa"/>
            <w:gridSpan w:val="3"/>
            <w:vAlign w:val="center"/>
          </w:tcPr>
          <w:p>
            <w:pPr>
              <w:rPr>
                <w:sz w:val="21"/>
                <w:szCs w:val="21"/>
              </w:rPr>
            </w:pPr>
            <w:r>
              <w:rPr>
                <w:rFonts w:hint="eastAsia"/>
                <w:sz w:val="21"/>
                <w:szCs w:val="21"/>
              </w:rPr>
              <w:t>联系人</w:t>
            </w:r>
          </w:p>
        </w:tc>
        <w:tc>
          <w:tcPr>
            <w:tcW w:w="2551" w:type="dxa"/>
            <w:gridSpan w:val="4"/>
            <w:vAlign w:val="center"/>
          </w:tcPr>
          <w:p>
            <w:pPr>
              <w:rPr>
                <w:sz w:val="21"/>
                <w:szCs w:val="21"/>
              </w:rPr>
            </w:pPr>
            <w:bookmarkStart w:id="5" w:name="联系人"/>
            <w:r>
              <w:rPr>
                <w:sz w:val="21"/>
                <w:szCs w:val="21"/>
              </w:rPr>
              <w:t>徐辉荣</w:t>
            </w:r>
            <w:bookmarkEnd w:id="5"/>
          </w:p>
        </w:tc>
        <w:tc>
          <w:tcPr>
            <w:tcW w:w="1701" w:type="dxa"/>
            <w:gridSpan w:val="2"/>
            <w:vAlign w:val="center"/>
          </w:tcPr>
          <w:p>
            <w:pPr>
              <w:rPr>
                <w:sz w:val="21"/>
                <w:szCs w:val="21"/>
              </w:rPr>
            </w:pPr>
            <w:r>
              <w:rPr>
                <w:rFonts w:hint="eastAsia"/>
                <w:sz w:val="21"/>
                <w:szCs w:val="21"/>
              </w:rPr>
              <w:t>联系电话</w:t>
            </w:r>
          </w:p>
        </w:tc>
        <w:tc>
          <w:tcPr>
            <w:tcW w:w="1701" w:type="dxa"/>
            <w:gridSpan w:val="3"/>
            <w:vAlign w:val="center"/>
          </w:tcPr>
          <w:p>
            <w:pPr>
              <w:rPr>
                <w:sz w:val="21"/>
                <w:szCs w:val="21"/>
              </w:rPr>
            </w:pPr>
            <w:bookmarkStart w:id="6" w:name="联系人电话"/>
            <w:r>
              <w:rPr>
                <w:sz w:val="21"/>
                <w:szCs w:val="21"/>
              </w:rPr>
              <w:t>18786689101</w:t>
            </w:r>
            <w:bookmarkEnd w:id="6"/>
          </w:p>
        </w:tc>
        <w:tc>
          <w:tcPr>
            <w:tcW w:w="709" w:type="dxa"/>
            <w:gridSpan w:val="2"/>
            <w:vMerge w:val="restart"/>
            <w:vAlign w:val="center"/>
          </w:tcPr>
          <w:p>
            <w:pPr>
              <w:rPr>
                <w:sz w:val="21"/>
                <w:szCs w:val="21"/>
              </w:rPr>
            </w:pPr>
            <w:r>
              <w:rPr>
                <w:rFonts w:hint="eastAsia"/>
                <w:sz w:val="21"/>
                <w:szCs w:val="21"/>
              </w:rPr>
              <w:t>邮箱</w:t>
            </w:r>
          </w:p>
        </w:tc>
        <w:tc>
          <w:tcPr>
            <w:tcW w:w="2079" w:type="dxa"/>
            <w:gridSpan w:val="3"/>
            <w:vMerge w:val="restart"/>
            <w:vAlign w:val="center"/>
          </w:tcPr>
          <w:p>
            <w:pPr>
              <w:rPr>
                <w:sz w:val="21"/>
                <w:szCs w:val="21"/>
              </w:rPr>
            </w:pPr>
            <w:bookmarkStart w:id="7" w:name="联系人邮箱"/>
            <w:r>
              <w:rPr>
                <w:sz w:val="21"/>
                <w:szCs w:val="21"/>
              </w:rPr>
              <w:t>hsuai@vip.qq.com</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85" w:type="dxa"/>
            <w:gridSpan w:val="3"/>
            <w:vAlign w:val="center"/>
          </w:tcPr>
          <w:p>
            <w:r>
              <w:rPr>
                <w:rFonts w:hint="eastAsia"/>
              </w:rPr>
              <w:t>最高管理者</w:t>
            </w:r>
          </w:p>
        </w:tc>
        <w:tc>
          <w:tcPr>
            <w:tcW w:w="2551" w:type="dxa"/>
            <w:gridSpan w:val="4"/>
            <w:vAlign w:val="center"/>
          </w:tcPr>
          <w:p>
            <w:bookmarkStart w:id="8" w:name="最高管理者"/>
            <w:bookmarkEnd w:id="8"/>
          </w:p>
        </w:tc>
        <w:tc>
          <w:tcPr>
            <w:tcW w:w="1701" w:type="dxa"/>
            <w:gridSpan w:val="2"/>
            <w:vAlign w:val="center"/>
          </w:tcPr>
          <w:p>
            <w:pPr>
              <w:rPr>
                <w:sz w:val="21"/>
                <w:szCs w:val="21"/>
              </w:rPr>
            </w:pPr>
            <w:r>
              <w:rPr>
                <w:rFonts w:hint="eastAsia"/>
                <w:sz w:val="21"/>
                <w:szCs w:val="21"/>
              </w:rPr>
              <w:t>传真</w:t>
            </w:r>
          </w:p>
        </w:tc>
        <w:tc>
          <w:tcPr>
            <w:tcW w:w="1701" w:type="dxa"/>
            <w:gridSpan w:val="3"/>
            <w:vAlign w:val="center"/>
          </w:tcPr>
          <w:p>
            <w:bookmarkStart w:id="9" w:name="联系人传真"/>
            <w:bookmarkEnd w:id="9"/>
          </w:p>
        </w:tc>
        <w:tc>
          <w:tcPr>
            <w:tcW w:w="709" w:type="dxa"/>
            <w:gridSpan w:val="2"/>
            <w:vMerge w:val="continue"/>
            <w:vAlign w:val="center"/>
          </w:tcPr>
          <w:p/>
        </w:tc>
        <w:tc>
          <w:tcPr>
            <w:tcW w:w="2079" w:type="dxa"/>
            <w:gridSpan w:val="3"/>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485" w:type="dxa"/>
            <w:gridSpan w:val="3"/>
            <w:vAlign w:val="center"/>
          </w:tcPr>
          <w:p>
            <w:r>
              <w:rPr>
                <w:rFonts w:hint="eastAsia"/>
              </w:rPr>
              <w:t>审核目的</w:t>
            </w:r>
          </w:p>
        </w:tc>
        <w:tc>
          <w:tcPr>
            <w:tcW w:w="8741" w:type="dxa"/>
            <w:gridSpan w:val="14"/>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485" w:type="dxa"/>
            <w:gridSpan w:val="3"/>
            <w:vAlign w:val="center"/>
          </w:tcPr>
          <w:p>
            <w:r>
              <w:rPr>
                <w:rFonts w:hint="eastAsia"/>
              </w:rPr>
              <w:t>审核范围</w:t>
            </w:r>
          </w:p>
        </w:tc>
        <w:tc>
          <w:tcPr>
            <w:tcW w:w="6237" w:type="dxa"/>
            <w:gridSpan w:val="10"/>
            <w:vAlign w:val="center"/>
          </w:tcPr>
          <w:p>
            <w:bookmarkStart w:id="10" w:name="审核范围"/>
            <w:r>
              <w:t>塑料板、管、型材制造所涉及的能源管理活动</w:t>
            </w:r>
            <w:bookmarkEnd w:id="10"/>
          </w:p>
        </w:tc>
        <w:tc>
          <w:tcPr>
            <w:tcW w:w="850" w:type="dxa"/>
            <w:gridSpan w:val="3"/>
            <w:vAlign w:val="center"/>
          </w:tcPr>
          <w:p>
            <w:r>
              <w:rPr>
                <w:rFonts w:hint="eastAsia"/>
              </w:rPr>
              <w:t>专业</w:t>
            </w:r>
          </w:p>
          <w:p>
            <w:r>
              <w:rPr>
                <w:rFonts w:hint="eastAsia"/>
              </w:rPr>
              <w:t>代码</w:t>
            </w:r>
          </w:p>
        </w:tc>
        <w:tc>
          <w:tcPr>
            <w:tcW w:w="1654" w:type="dxa"/>
            <w:vAlign w:val="center"/>
          </w:tcPr>
          <w:p>
            <w:bookmarkStart w:id="11" w:name="专业代码"/>
            <w:r>
              <w:t>2.4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85" w:type="dxa"/>
            <w:gridSpan w:val="3"/>
            <w:vAlign w:val="center"/>
          </w:tcPr>
          <w:p>
            <w:r>
              <w:rPr>
                <w:rFonts w:hint="eastAsia"/>
              </w:rPr>
              <w:t>审核准则</w:t>
            </w:r>
          </w:p>
        </w:tc>
        <w:tc>
          <w:tcPr>
            <w:tcW w:w="8741" w:type="dxa"/>
            <w:gridSpan w:val="14"/>
            <w:vAlign w:val="center"/>
          </w:tcPr>
          <w:p>
            <w:pPr>
              <w:rPr>
                <w:rFonts w:ascii="宋体" w:hAnsi="宋体"/>
                <w:b/>
                <w:sz w:val="21"/>
                <w:szCs w:val="21"/>
              </w:rPr>
            </w:pPr>
            <w:bookmarkStart w:id="12" w:name="审核依据"/>
            <w:r>
              <w:rPr>
                <w:rFonts w:hint="eastAsia" w:ascii="宋体" w:hAnsi="宋体"/>
                <w:b/>
                <w:sz w:val="21"/>
                <w:szCs w:val="21"/>
              </w:rPr>
              <w:t>ISO50001:2018</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审核日期</w:t>
            </w:r>
          </w:p>
        </w:tc>
        <w:tc>
          <w:tcPr>
            <w:tcW w:w="8741" w:type="dxa"/>
            <w:gridSpan w:val="14"/>
            <w:vAlign w:val="center"/>
          </w:tcPr>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现场审核于</w:t>
            </w:r>
            <w:bookmarkStart w:id="13" w:name="审核日期安排"/>
            <w:r>
              <w:rPr>
                <w:rFonts w:hint="eastAsia"/>
                <w:b/>
                <w:sz w:val="21"/>
                <w:szCs w:val="21"/>
              </w:rPr>
              <w:t>2021年04月26日 上午至2021年04月26日 下午 (共1.0天)</w:t>
            </w:r>
            <w:bookmarkEnd w:id="13"/>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85" w:type="dxa"/>
            <w:gridSpan w:val="3"/>
            <w:vAlign w:val="center"/>
          </w:tcPr>
          <w:p>
            <w:r>
              <w:rPr>
                <w:rFonts w:hint="eastAsia"/>
              </w:rPr>
              <w:t>审核语言</w:t>
            </w:r>
          </w:p>
        </w:tc>
        <w:tc>
          <w:tcPr>
            <w:tcW w:w="8741" w:type="dxa"/>
            <w:gridSpan w:val="14"/>
            <w:vAlign w:val="center"/>
          </w:tcPr>
          <w:p>
            <w:pPr>
              <w:tabs>
                <w:tab w:val="center" w:pos="4153"/>
                <w:tab w:val="right" w:pos="8306"/>
              </w:tabs>
              <w:snapToGrid w:val="0"/>
              <w:spacing w:line="360" w:lineRule="auto"/>
              <w:rPr>
                <w:b/>
                <w:sz w:val="21"/>
                <w:szCs w:val="21"/>
              </w:rPr>
            </w:pPr>
            <w:r>
              <w:rPr>
                <w:rFonts w:hint="eastAsia" w:ascii="宋体" w:hAnsi="宋体" w:eastAsia="宋体" w:cs="宋体"/>
                <w:spacing w:val="-2"/>
                <w:sz w:val="21"/>
                <w:szCs w:val="21"/>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pPr>
            <w:r>
              <w:rPr>
                <w:rFonts w:hint="eastAsia"/>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姓名</w:t>
            </w:r>
          </w:p>
        </w:tc>
        <w:tc>
          <w:tcPr>
            <w:tcW w:w="780" w:type="dxa"/>
            <w:gridSpan w:val="2"/>
            <w:vAlign w:val="center"/>
          </w:tcPr>
          <w:p>
            <w:pPr>
              <w:jc w:val="center"/>
              <w:rPr>
                <w:sz w:val="21"/>
                <w:szCs w:val="21"/>
              </w:rPr>
            </w:pPr>
            <w:r>
              <w:rPr>
                <w:rFonts w:hint="eastAsia"/>
                <w:sz w:val="21"/>
                <w:szCs w:val="21"/>
              </w:rPr>
              <w:t>组内</w:t>
            </w:r>
          </w:p>
          <w:p>
            <w:pPr>
              <w:jc w:val="center"/>
              <w:rPr>
                <w:sz w:val="21"/>
                <w:szCs w:val="21"/>
              </w:rPr>
            </w:pPr>
            <w:r>
              <w:rPr>
                <w:rFonts w:hint="eastAsia"/>
                <w:sz w:val="21"/>
                <w:szCs w:val="21"/>
              </w:rPr>
              <w:t>身份</w:t>
            </w:r>
          </w:p>
        </w:tc>
        <w:tc>
          <w:tcPr>
            <w:tcW w:w="720" w:type="dxa"/>
            <w:vAlign w:val="center"/>
          </w:tcPr>
          <w:p>
            <w:pPr>
              <w:jc w:val="center"/>
              <w:rPr>
                <w:sz w:val="21"/>
                <w:szCs w:val="21"/>
              </w:rPr>
            </w:pPr>
            <w:r>
              <w:rPr>
                <w:rFonts w:hint="eastAsia"/>
                <w:sz w:val="21"/>
                <w:szCs w:val="21"/>
              </w:rPr>
              <w:t>性别</w:t>
            </w:r>
          </w:p>
        </w:tc>
        <w:tc>
          <w:tcPr>
            <w:tcW w:w="1141" w:type="dxa"/>
            <w:gridSpan w:val="2"/>
            <w:vAlign w:val="center"/>
          </w:tcPr>
          <w:p>
            <w:pPr>
              <w:jc w:val="center"/>
              <w:rPr>
                <w:sz w:val="21"/>
                <w:szCs w:val="21"/>
              </w:rPr>
            </w:pPr>
            <w:r>
              <w:rPr>
                <w:rFonts w:hint="eastAsia"/>
                <w:sz w:val="21"/>
                <w:szCs w:val="21"/>
              </w:rPr>
              <w:t>注册资格</w:t>
            </w:r>
          </w:p>
        </w:tc>
        <w:tc>
          <w:tcPr>
            <w:tcW w:w="2089" w:type="dxa"/>
            <w:gridSpan w:val="3"/>
            <w:vAlign w:val="center"/>
          </w:tcPr>
          <w:p>
            <w:pPr>
              <w:jc w:val="center"/>
              <w:rPr>
                <w:sz w:val="21"/>
                <w:szCs w:val="21"/>
              </w:rPr>
            </w:pPr>
            <w:r>
              <w:rPr>
                <w:rFonts w:hint="eastAsia"/>
                <w:sz w:val="21"/>
                <w:szCs w:val="21"/>
              </w:rPr>
              <w:t>专业代码</w:t>
            </w:r>
          </w:p>
        </w:tc>
        <w:tc>
          <w:tcPr>
            <w:tcW w:w="2268" w:type="dxa"/>
            <w:gridSpan w:val="5"/>
            <w:vAlign w:val="center"/>
          </w:tcPr>
          <w:p>
            <w:pPr>
              <w:jc w:val="center"/>
              <w:rPr>
                <w:sz w:val="21"/>
                <w:szCs w:val="21"/>
              </w:rPr>
            </w:pPr>
            <w:r>
              <w:rPr>
                <w:rFonts w:hint="eastAsia"/>
                <w:sz w:val="21"/>
                <w:szCs w:val="21"/>
              </w:rPr>
              <w:t>联系电话</w:t>
            </w:r>
          </w:p>
        </w:tc>
        <w:tc>
          <w:tcPr>
            <w:tcW w:w="1833" w:type="dxa"/>
            <w:gridSpan w:val="2"/>
            <w:vAlign w:val="center"/>
          </w:tcPr>
          <w:p>
            <w:pPr>
              <w:jc w:val="center"/>
              <w:rPr>
                <w:sz w:val="21"/>
                <w:szCs w:val="21"/>
              </w:rPr>
            </w:pPr>
            <w:r>
              <w:rPr>
                <w:rFonts w:hint="eastAsia"/>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周涛</w:t>
            </w:r>
          </w:p>
        </w:tc>
        <w:tc>
          <w:tcPr>
            <w:tcW w:w="780" w:type="dxa"/>
            <w:gridSpan w:val="2"/>
            <w:vAlign w:val="center"/>
          </w:tcPr>
          <w:p>
            <w:pPr>
              <w:jc w:val="center"/>
              <w:rPr>
                <w:sz w:val="21"/>
                <w:szCs w:val="21"/>
              </w:rPr>
            </w:pPr>
            <w:r>
              <w:rPr>
                <w:sz w:val="21"/>
                <w:szCs w:val="21"/>
              </w:rPr>
              <w:t>组长</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089" w:type="dxa"/>
            <w:gridSpan w:val="3"/>
            <w:vAlign w:val="center"/>
          </w:tcPr>
          <w:p>
            <w:pPr>
              <w:jc w:val="center"/>
              <w:rPr>
                <w:sz w:val="21"/>
                <w:szCs w:val="21"/>
              </w:rPr>
            </w:pPr>
          </w:p>
        </w:tc>
        <w:tc>
          <w:tcPr>
            <w:tcW w:w="2268" w:type="dxa"/>
            <w:gridSpan w:val="5"/>
            <w:vAlign w:val="center"/>
          </w:tcPr>
          <w:p>
            <w:pPr>
              <w:jc w:val="center"/>
              <w:rPr>
                <w:sz w:val="21"/>
                <w:szCs w:val="21"/>
              </w:rPr>
            </w:pPr>
            <w:r>
              <w:rPr>
                <w:sz w:val="21"/>
                <w:szCs w:val="21"/>
              </w:rPr>
              <w:t>13863734938</w:t>
            </w:r>
          </w:p>
        </w:tc>
        <w:tc>
          <w:tcPr>
            <w:tcW w:w="1833" w:type="dxa"/>
            <w:gridSpan w:val="2"/>
            <w:vAlign w:val="center"/>
          </w:tcPr>
          <w:p>
            <w:pPr>
              <w:jc w:val="center"/>
              <w:rPr>
                <w:sz w:val="21"/>
                <w:szCs w:val="21"/>
              </w:rPr>
            </w:pPr>
            <w:r>
              <w:rPr>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姜小清</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r>
              <w:rPr>
                <w:sz w:val="21"/>
                <w:szCs w:val="21"/>
              </w:rPr>
              <w:t>审核员</w:t>
            </w:r>
          </w:p>
        </w:tc>
        <w:tc>
          <w:tcPr>
            <w:tcW w:w="2089" w:type="dxa"/>
            <w:gridSpan w:val="3"/>
            <w:vAlign w:val="center"/>
          </w:tcPr>
          <w:p>
            <w:pPr>
              <w:jc w:val="center"/>
              <w:rPr>
                <w:sz w:val="21"/>
                <w:szCs w:val="21"/>
              </w:rPr>
            </w:pPr>
          </w:p>
        </w:tc>
        <w:tc>
          <w:tcPr>
            <w:tcW w:w="2268" w:type="dxa"/>
            <w:gridSpan w:val="5"/>
            <w:vAlign w:val="center"/>
          </w:tcPr>
          <w:p>
            <w:pPr>
              <w:jc w:val="center"/>
              <w:rPr>
                <w:sz w:val="21"/>
                <w:szCs w:val="21"/>
              </w:rPr>
            </w:pPr>
            <w:r>
              <w:rPr>
                <w:sz w:val="21"/>
                <w:szCs w:val="21"/>
              </w:rPr>
              <w:t>13801208638</w:t>
            </w:r>
          </w:p>
        </w:tc>
        <w:tc>
          <w:tcPr>
            <w:tcW w:w="1833" w:type="dxa"/>
            <w:gridSpan w:val="2"/>
            <w:vAlign w:val="center"/>
          </w:tcPr>
          <w:p>
            <w:pPr>
              <w:jc w:val="center"/>
              <w:rPr>
                <w:sz w:val="21"/>
                <w:szCs w:val="21"/>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395" w:type="dxa"/>
            <w:gridSpan w:val="2"/>
            <w:vAlign w:val="center"/>
          </w:tcPr>
          <w:p>
            <w:pPr>
              <w:jc w:val="center"/>
              <w:rPr>
                <w:sz w:val="21"/>
                <w:szCs w:val="21"/>
              </w:rPr>
            </w:pPr>
            <w:r>
              <w:rPr>
                <w:sz w:val="21"/>
                <w:szCs w:val="21"/>
              </w:rPr>
              <w:t>田景发</w:t>
            </w:r>
          </w:p>
        </w:tc>
        <w:tc>
          <w:tcPr>
            <w:tcW w:w="780" w:type="dxa"/>
            <w:gridSpan w:val="2"/>
            <w:vAlign w:val="center"/>
          </w:tcPr>
          <w:p>
            <w:pPr>
              <w:jc w:val="center"/>
              <w:rPr>
                <w:sz w:val="21"/>
                <w:szCs w:val="21"/>
              </w:rPr>
            </w:pPr>
            <w:r>
              <w:rPr>
                <w:sz w:val="21"/>
                <w:szCs w:val="21"/>
              </w:rPr>
              <w:t>组员</w:t>
            </w:r>
          </w:p>
        </w:tc>
        <w:tc>
          <w:tcPr>
            <w:tcW w:w="720" w:type="dxa"/>
            <w:vAlign w:val="center"/>
          </w:tcPr>
          <w:p>
            <w:pPr>
              <w:jc w:val="center"/>
              <w:rPr>
                <w:sz w:val="21"/>
                <w:szCs w:val="21"/>
              </w:rPr>
            </w:pPr>
            <w:r>
              <w:rPr>
                <w:sz w:val="21"/>
                <w:szCs w:val="21"/>
              </w:rPr>
              <w:t>男</w:t>
            </w:r>
          </w:p>
        </w:tc>
        <w:tc>
          <w:tcPr>
            <w:tcW w:w="1141" w:type="dxa"/>
            <w:gridSpan w:val="2"/>
            <w:vAlign w:val="center"/>
          </w:tcPr>
          <w:p>
            <w:pPr>
              <w:jc w:val="center"/>
              <w:rPr>
                <w:sz w:val="21"/>
                <w:szCs w:val="21"/>
              </w:rPr>
            </w:pPr>
          </w:p>
          <w:p>
            <w:pPr>
              <w:jc w:val="center"/>
              <w:rPr>
                <w:sz w:val="21"/>
                <w:szCs w:val="21"/>
              </w:rPr>
            </w:pPr>
            <w:r>
              <w:rPr>
                <w:sz w:val="21"/>
                <w:szCs w:val="21"/>
              </w:rPr>
              <w:t>专家</w:t>
            </w:r>
          </w:p>
          <w:p>
            <w:pPr>
              <w:jc w:val="center"/>
              <w:rPr>
                <w:sz w:val="21"/>
                <w:szCs w:val="21"/>
              </w:rPr>
            </w:pPr>
          </w:p>
        </w:tc>
        <w:tc>
          <w:tcPr>
            <w:tcW w:w="2089" w:type="dxa"/>
            <w:gridSpan w:val="3"/>
            <w:vAlign w:val="center"/>
          </w:tcPr>
          <w:p>
            <w:pPr>
              <w:jc w:val="center"/>
              <w:rPr>
                <w:sz w:val="21"/>
                <w:szCs w:val="21"/>
              </w:rPr>
            </w:pPr>
            <w:r>
              <w:rPr>
                <w:sz w:val="21"/>
                <w:szCs w:val="21"/>
              </w:rPr>
              <w:t>2.4</w:t>
            </w:r>
          </w:p>
        </w:tc>
        <w:tc>
          <w:tcPr>
            <w:tcW w:w="2268" w:type="dxa"/>
            <w:gridSpan w:val="5"/>
            <w:vAlign w:val="center"/>
          </w:tcPr>
          <w:p>
            <w:pPr>
              <w:jc w:val="center"/>
              <w:rPr>
                <w:sz w:val="21"/>
                <w:szCs w:val="21"/>
              </w:rPr>
            </w:pPr>
            <w:r>
              <w:rPr>
                <w:sz w:val="21"/>
                <w:szCs w:val="21"/>
              </w:rPr>
              <w:t>15285112548</w:t>
            </w:r>
          </w:p>
        </w:tc>
        <w:tc>
          <w:tcPr>
            <w:tcW w:w="1833" w:type="dxa"/>
            <w:gridSpan w:val="2"/>
            <w:vAlign w:val="center"/>
          </w:tcPr>
          <w:p>
            <w:pPr>
              <w:jc w:val="center"/>
              <w:rPr>
                <w:sz w:val="21"/>
                <w:szCs w:val="21"/>
              </w:rPr>
            </w:pPr>
            <w:r>
              <w:rPr>
                <w:sz w:val="21"/>
                <w:szCs w:val="21"/>
              </w:rPr>
              <w:t>ISC-JSZJ-289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在审核过程中接触的有关受审核方特定产品或机密信息，未经受审核方书面同意不得透露给第三方。当法律要求需要信息提供给第三方时，中心书面通知受审核方所要提供的信息。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1843" w:type="dxa"/>
            <w:gridSpan w:val="5"/>
            <w:vAlign w:val="center"/>
          </w:tcPr>
          <w:p>
            <w:pPr>
              <w:ind w:firstLine="420" w:firstLineChars="200"/>
              <w:rPr>
                <w:rFonts w:hint="eastAsia" w:eastAsia="宋体"/>
                <w:sz w:val="21"/>
                <w:szCs w:val="21"/>
                <w:lang w:val="en-US" w:eastAsia="zh-CN"/>
              </w:rPr>
            </w:pPr>
            <w:r>
              <w:rPr>
                <w:rFonts w:hint="eastAsia"/>
                <w:sz w:val="21"/>
                <w:szCs w:val="21"/>
                <w:lang w:val="en-US" w:eastAsia="zh-CN"/>
              </w:rPr>
              <w:t>周    涛</w:t>
            </w:r>
          </w:p>
        </w:tc>
        <w:tc>
          <w:tcPr>
            <w:tcW w:w="1134" w:type="dxa"/>
            <w:gridSpan w:val="2"/>
            <w:vMerge w:val="restart"/>
            <w:vAlign w:val="center"/>
          </w:tcPr>
          <w:p>
            <w:pPr>
              <w:rPr>
                <w:sz w:val="21"/>
                <w:szCs w:val="21"/>
              </w:rPr>
            </w:pPr>
            <w:r>
              <w:rPr>
                <w:rFonts w:hint="eastAsia"/>
                <w:sz w:val="21"/>
                <w:szCs w:val="21"/>
              </w:rPr>
              <w:t>审核方案</w:t>
            </w:r>
          </w:p>
          <w:p>
            <w:pPr>
              <w:rPr>
                <w:sz w:val="21"/>
                <w:szCs w:val="21"/>
              </w:rPr>
            </w:pPr>
            <w:r>
              <w:rPr>
                <w:rFonts w:hint="eastAsia"/>
                <w:sz w:val="21"/>
                <w:szCs w:val="21"/>
              </w:rPr>
              <w:t>管理人员</w:t>
            </w:r>
          </w:p>
        </w:tc>
        <w:tc>
          <w:tcPr>
            <w:tcW w:w="2126" w:type="dxa"/>
            <w:gridSpan w:val="3"/>
            <w:vMerge w:val="restart"/>
            <w:vAlign w:val="center"/>
          </w:tcPr>
          <w:p>
            <w:pPr>
              <w:rPr>
                <w:rFonts w:hint="default" w:eastAsia="宋体"/>
                <w:sz w:val="21"/>
                <w:szCs w:val="21"/>
                <w:lang w:val="en-US" w:eastAsia="zh-CN"/>
              </w:rPr>
            </w:pPr>
            <w:r>
              <w:rPr>
                <w:rFonts w:hint="eastAsia"/>
                <w:sz w:val="21"/>
                <w:szCs w:val="21"/>
                <w:lang w:val="en-US" w:eastAsia="zh-CN"/>
              </w:rPr>
              <w:t xml:space="preserve">    李永忠</w:t>
            </w:r>
          </w:p>
        </w:tc>
        <w:tc>
          <w:tcPr>
            <w:tcW w:w="1418" w:type="dxa"/>
            <w:gridSpan w:val="2"/>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2504" w:type="dxa"/>
            <w:gridSpan w:val="4"/>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1843"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1134" w:type="dxa"/>
            <w:gridSpan w:val="2"/>
            <w:vMerge w:val="continue"/>
            <w:vAlign w:val="center"/>
          </w:tcPr>
          <w:p>
            <w:pPr>
              <w:spacing w:line="360" w:lineRule="auto"/>
              <w:rPr>
                <w:sz w:val="21"/>
                <w:szCs w:val="21"/>
              </w:rPr>
            </w:pPr>
          </w:p>
        </w:tc>
        <w:tc>
          <w:tcPr>
            <w:tcW w:w="2126" w:type="dxa"/>
            <w:gridSpan w:val="3"/>
            <w:vMerge w:val="continue"/>
            <w:vAlign w:val="center"/>
          </w:tcPr>
          <w:p>
            <w:pPr>
              <w:spacing w:line="360" w:lineRule="auto"/>
              <w:rPr>
                <w:sz w:val="21"/>
                <w:szCs w:val="21"/>
              </w:rPr>
            </w:pPr>
          </w:p>
        </w:tc>
        <w:tc>
          <w:tcPr>
            <w:tcW w:w="1418" w:type="dxa"/>
            <w:gridSpan w:val="2"/>
            <w:vMerge w:val="continue"/>
            <w:vAlign w:val="center"/>
          </w:tcPr>
          <w:p>
            <w:pPr>
              <w:spacing w:line="360" w:lineRule="auto"/>
              <w:rPr>
                <w:sz w:val="21"/>
                <w:szCs w:val="21"/>
              </w:rPr>
            </w:pPr>
          </w:p>
        </w:tc>
        <w:tc>
          <w:tcPr>
            <w:tcW w:w="2504" w:type="dxa"/>
            <w:gridSpan w:val="4"/>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1843" w:type="dxa"/>
            <w:gridSpan w:val="5"/>
            <w:vAlign w:val="center"/>
          </w:tcPr>
          <w:p>
            <w:pPr>
              <w:spacing w:line="360" w:lineRule="auto"/>
              <w:ind w:firstLine="210" w:firstLineChars="100"/>
              <w:rPr>
                <w:rFonts w:hint="default" w:eastAsia="宋体"/>
                <w:sz w:val="21"/>
                <w:szCs w:val="21"/>
                <w:lang w:val="en-US" w:eastAsia="zh-CN"/>
              </w:rPr>
            </w:pPr>
            <w:r>
              <w:rPr>
                <w:rFonts w:hint="eastAsia"/>
                <w:sz w:val="21"/>
                <w:szCs w:val="21"/>
                <w:lang w:val="en-US" w:eastAsia="zh-CN"/>
              </w:rPr>
              <w:t>2021.4.25</w:t>
            </w:r>
          </w:p>
        </w:tc>
        <w:tc>
          <w:tcPr>
            <w:tcW w:w="1134" w:type="dxa"/>
            <w:gridSpan w:val="2"/>
            <w:vAlign w:val="center"/>
          </w:tcPr>
          <w:p>
            <w:pPr>
              <w:spacing w:line="360" w:lineRule="auto"/>
              <w:rPr>
                <w:sz w:val="21"/>
                <w:szCs w:val="21"/>
              </w:rPr>
            </w:pPr>
            <w:r>
              <w:rPr>
                <w:rFonts w:hint="eastAsia"/>
                <w:sz w:val="21"/>
                <w:szCs w:val="21"/>
              </w:rPr>
              <w:t>日期</w:t>
            </w:r>
          </w:p>
        </w:tc>
        <w:tc>
          <w:tcPr>
            <w:tcW w:w="2126" w:type="dxa"/>
            <w:gridSpan w:val="3"/>
            <w:vAlign w:val="center"/>
          </w:tcPr>
          <w:p>
            <w:pPr>
              <w:spacing w:line="360" w:lineRule="auto"/>
              <w:ind w:firstLine="420" w:firstLineChars="200"/>
              <w:rPr>
                <w:rFonts w:hint="default" w:eastAsia="宋体"/>
                <w:sz w:val="21"/>
                <w:szCs w:val="21"/>
                <w:lang w:val="en-US" w:eastAsia="zh-CN"/>
              </w:rPr>
            </w:pPr>
            <w:r>
              <w:rPr>
                <w:rFonts w:hint="eastAsia"/>
                <w:sz w:val="21"/>
                <w:szCs w:val="21"/>
                <w:lang w:val="en-US" w:eastAsia="zh-CN"/>
              </w:rPr>
              <w:t>2021.4.25</w:t>
            </w:r>
          </w:p>
        </w:tc>
        <w:tc>
          <w:tcPr>
            <w:tcW w:w="1418" w:type="dxa"/>
            <w:gridSpan w:val="2"/>
            <w:vAlign w:val="center"/>
          </w:tcPr>
          <w:p>
            <w:pPr>
              <w:spacing w:line="360" w:lineRule="auto"/>
              <w:rPr>
                <w:sz w:val="21"/>
                <w:szCs w:val="21"/>
              </w:rPr>
            </w:pPr>
            <w:r>
              <w:rPr>
                <w:rFonts w:hint="eastAsia"/>
                <w:sz w:val="21"/>
                <w:szCs w:val="21"/>
              </w:rPr>
              <w:t>日期</w:t>
            </w:r>
          </w:p>
        </w:tc>
        <w:tc>
          <w:tcPr>
            <w:tcW w:w="2504" w:type="dxa"/>
            <w:gridSpan w:val="4"/>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p>
    <w:p>
      <w:pPr>
        <w:snapToGrid w:val="0"/>
        <w:spacing w:before="163" w:beforeLines="50" w:line="320" w:lineRule="exact"/>
        <w:ind w:firstLine="4000" w:firstLineChars="1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651"/>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日期</w:t>
            </w:r>
          </w:p>
        </w:tc>
        <w:tc>
          <w:tcPr>
            <w:tcW w:w="1389"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时间</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受审核部门、场所及审核内容</w:t>
            </w:r>
          </w:p>
        </w:tc>
        <w:tc>
          <w:tcPr>
            <w:tcW w:w="1326" w:type="dxa"/>
            <w:tcBorders>
              <w:right w:val="single" w:color="auto" w:sz="8" w:space="0"/>
            </w:tcBorders>
            <w:vAlign w:val="center"/>
          </w:tcPr>
          <w:p>
            <w:pPr>
              <w:rPr>
                <w:rFonts w:hint="eastAsia" w:ascii="Times New Roman" w:hAnsi="Times New Roman" w:cs="Times New Roman"/>
                <w:sz w:val="18"/>
                <w:szCs w:val="18"/>
              </w:rPr>
            </w:pPr>
            <w:r>
              <w:rPr>
                <w:rFonts w:hint="eastAsia" w:ascii="Times New Roman" w:hAnsi="Times New Roman" w:cs="Times New Roman"/>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2021.4.26</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2021.4.26</w:t>
            </w: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eastAsia" w:ascii="Times New Roman" w:hAnsi="Times New Roman" w:cs="Times New Roman"/>
                <w:sz w:val="18"/>
                <w:szCs w:val="18"/>
                <w:lang w:val="en-US" w:eastAsia="zh-CN"/>
              </w:rPr>
            </w:pPr>
          </w:p>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8</w:t>
            </w:r>
            <w:r>
              <w:rPr>
                <w:rFonts w:hint="eastAsia" w:ascii="Times New Roman" w:hAnsi="Times New Roman" w:cs="Times New Roman"/>
                <w:sz w:val="18"/>
                <w:szCs w:val="18"/>
                <w:lang w:val="en-US" w:eastAsia="zh-CN"/>
              </w:rPr>
              <w:t>:00-</w:t>
            </w:r>
            <w:r>
              <w:rPr>
                <w:rFonts w:hint="eastAsia" w:cs="Times New Roman"/>
                <w:sz w:val="18"/>
                <w:szCs w:val="18"/>
                <w:lang w:val="en-US" w:eastAsia="zh-CN"/>
              </w:rPr>
              <w:t>8</w:t>
            </w:r>
            <w:bookmarkStart w:id="14" w:name="_GoBack"/>
            <w:bookmarkEnd w:id="14"/>
            <w:r>
              <w:rPr>
                <w:rFonts w:hint="eastAsia" w:ascii="Times New Roman" w:hAnsi="Times New Roman" w:cs="Times New Roman"/>
                <w:sz w:val="18"/>
                <w:szCs w:val="18"/>
                <w:lang w:val="en-US" w:eastAsia="zh-CN"/>
              </w:rPr>
              <w:t>:30</w:t>
            </w:r>
          </w:p>
        </w:tc>
        <w:tc>
          <w:tcPr>
            <w:tcW w:w="6651" w:type="dxa"/>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首次会议</w:t>
            </w:r>
          </w:p>
        </w:tc>
        <w:tc>
          <w:tcPr>
            <w:tcW w:w="1326" w:type="dxa"/>
            <w:tcBorders>
              <w:right w:val="single" w:color="auto" w:sz="8" w:space="0"/>
            </w:tcBorders>
            <w:vAlign w:val="center"/>
          </w:tcPr>
          <w:p>
            <w:pPr>
              <w:rPr>
                <w:sz w:val="21"/>
                <w:szCs w:val="21"/>
              </w:rPr>
            </w:pPr>
            <w:r>
              <w:rPr>
                <w:sz w:val="21"/>
                <w:szCs w:val="21"/>
              </w:rPr>
              <w:t>ISC-72033</w:t>
            </w:r>
          </w:p>
          <w:p>
            <w:pPr>
              <w:rPr>
                <w:sz w:val="21"/>
                <w:szCs w:val="21"/>
              </w:rPr>
            </w:pPr>
            <w:r>
              <w:rPr>
                <w:sz w:val="21"/>
                <w:szCs w:val="21"/>
              </w:rPr>
              <w:t>ISC-201919</w:t>
            </w:r>
          </w:p>
          <w:p>
            <w:pPr>
              <w:rPr>
                <w:rFonts w:hint="eastAsia"/>
                <w:sz w:val="21"/>
                <w:szCs w:val="21"/>
                <w:lang w:val="en-US" w:eastAsia="zh-CN"/>
              </w:rPr>
            </w:pPr>
            <w:r>
              <w:rPr>
                <w:sz w:val="18"/>
                <w:szCs w:val="18"/>
              </w:rPr>
              <w:t>ISC-JSZJ-289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default" w:ascii="Times New Roman" w:hAnsi="Times New Roman" w:cs="Times New Roman"/>
                <w:sz w:val="18"/>
                <w:szCs w:val="18"/>
                <w:lang w:val="en-US" w:eastAsia="zh-CN"/>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8</w:t>
            </w:r>
            <w:r>
              <w:rPr>
                <w:rFonts w:hint="eastAsia" w:cs="Times New Roman"/>
                <w:sz w:val="18"/>
                <w:szCs w:val="18"/>
                <w:lang w:val="en-US" w:eastAsia="zh-CN"/>
              </w:rPr>
              <w:t>:</w:t>
            </w:r>
            <w:r>
              <w:rPr>
                <w:rFonts w:hint="eastAsia" w:ascii="Times New Roman" w:hAnsi="Times New Roman" w:cs="Times New Roman"/>
                <w:sz w:val="18"/>
                <w:szCs w:val="18"/>
                <w:lang w:val="en-US" w:eastAsia="zh-CN"/>
              </w:rPr>
              <w:t>30-</w:t>
            </w:r>
            <w:r>
              <w:rPr>
                <w:rFonts w:hint="eastAsia" w:cs="Times New Roman"/>
                <w:sz w:val="18"/>
                <w:szCs w:val="18"/>
                <w:lang w:val="en-US" w:eastAsia="zh-CN"/>
              </w:rPr>
              <w:t>10:</w:t>
            </w:r>
            <w:r>
              <w:rPr>
                <w:rFonts w:hint="eastAsia" w:ascii="Times New Roman" w:hAnsi="Times New Roman" w:cs="Times New Roman"/>
                <w:sz w:val="18"/>
                <w:szCs w:val="18"/>
                <w:lang w:val="en-US" w:eastAsia="zh-CN"/>
              </w:rPr>
              <w:t>30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一、</w:t>
            </w:r>
            <w:r>
              <w:rPr>
                <w:rFonts w:hint="eastAsia" w:ascii="Times New Roman" w:hAnsi="Times New Roman" w:cs="Times New Roman"/>
                <w:sz w:val="18"/>
                <w:szCs w:val="18"/>
              </w:rPr>
              <w:t>合同基本信息确认:</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核对资质证书（营业执照、生产（安全）许可证、行业许可证、3C证书等）原件和复印件/扫描件的一致性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确定审核范围的合理性（地址、产品/服务）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确定多现场和临时现场的地址</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 xml:space="preserve">确定有效的员工人数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生产、服务的班次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体系运行时间是否满足3个月</w:t>
            </w:r>
          </w:p>
        </w:tc>
        <w:tc>
          <w:tcPr>
            <w:tcW w:w="1326"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eastAsia" w:ascii="Times New Roman" w:hAnsi="Times New Roman" w:cs="Times New Roman"/>
                <w:sz w:val="18"/>
                <w:szCs w:val="18"/>
              </w:rPr>
            </w:pPr>
            <w:r>
              <w:rPr>
                <w:rFonts w:hint="eastAsia" w:cs="Times New Roman"/>
                <w:sz w:val="18"/>
                <w:szCs w:val="18"/>
                <w:lang w:val="en-US" w:eastAsia="zh-CN"/>
              </w:rPr>
              <w:t>10:</w:t>
            </w:r>
            <w:r>
              <w:rPr>
                <w:rFonts w:hint="eastAsia" w:ascii="Times New Roman" w:hAnsi="Times New Roman" w:cs="Times New Roman"/>
                <w:sz w:val="18"/>
                <w:szCs w:val="18"/>
                <w:lang w:val="en-US" w:eastAsia="zh-CN"/>
              </w:rPr>
              <w:t>30-1</w:t>
            </w:r>
            <w:r>
              <w:rPr>
                <w:rFonts w:hint="eastAsia" w:cs="Times New Roman"/>
                <w:sz w:val="18"/>
                <w:szCs w:val="18"/>
                <w:lang w:val="en-US" w:eastAsia="zh-CN"/>
              </w:rPr>
              <w:t>2:0</w:t>
            </w:r>
            <w:r>
              <w:rPr>
                <w:rFonts w:hint="eastAsia" w:ascii="Times New Roman" w:hAnsi="Times New Roman"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二、</w:t>
            </w:r>
            <w:r>
              <w:rPr>
                <w:rFonts w:hint="eastAsia" w:ascii="Times New Roman" w:hAnsi="Times New Roman" w:cs="Times New Roman"/>
                <w:sz w:val="18"/>
                <w:szCs w:val="18"/>
              </w:rPr>
              <w:t>了解企业基本情况：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组织环境</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主要的相关方和期望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风险的识别和评价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组织机构的设置</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外部提供过程、产品和服务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被主管部门处罚和曝光情况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其他机构转入情况（适用时）</w:t>
            </w:r>
          </w:p>
        </w:tc>
        <w:tc>
          <w:tcPr>
            <w:tcW w:w="1326"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13:0</w:t>
            </w:r>
            <w:r>
              <w:rPr>
                <w:rFonts w:hint="eastAsia" w:ascii="Times New Roman" w:hAnsi="Times New Roman" w:cs="Times New Roman"/>
                <w:sz w:val="18"/>
                <w:szCs w:val="18"/>
                <w:lang w:val="en-US" w:eastAsia="zh-CN"/>
              </w:rPr>
              <w:t>0-1</w:t>
            </w:r>
            <w:r>
              <w:rPr>
                <w:rFonts w:hint="eastAsia" w:cs="Times New Roman"/>
                <w:sz w:val="18"/>
                <w:szCs w:val="18"/>
                <w:lang w:val="en-US" w:eastAsia="zh-CN"/>
              </w:rPr>
              <w:t>5:0</w:t>
            </w:r>
            <w:r>
              <w:rPr>
                <w:rFonts w:hint="eastAsia" w:ascii="Times New Roman" w:hAnsi="Times New Roman" w:cs="Times New Roman"/>
                <w:sz w:val="18"/>
                <w:szCs w:val="18"/>
                <w:lang w:val="en-US" w:eastAsia="zh-CN"/>
              </w:rPr>
              <w:t>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三、</w:t>
            </w:r>
            <w:r>
              <w:rPr>
                <w:rFonts w:hint="eastAsia" w:ascii="Times New Roman" w:hAnsi="Times New Roman" w:cs="Times New Roman"/>
                <w:sz w:val="18"/>
                <w:szCs w:val="18"/>
              </w:rPr>
              <w:t>文件化体系策划情况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 xml:space="preserve"> 管理手册；</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文件化的程序；</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作业文件；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记录表格</w:t>
            </w:r>
          </w:p>
        </w:tc>
        <w:tc>
          <w:tcPr>
            <w:tcW w:w="1326" w:type="dxa"/>
            <w:tcBorders>
              <w:right w:val="single" w:color="auto" w:sz="8" w:space="0"/>
            </w:tcBorders>
            <w:vAlign w:val="center"/>
          </w:tcPr>
          <w:p>
            <w:pPr>
              <w:rPr>
                <w:rFonts w:hint="eastAsia" w:ascii="Times New Roman" w:hAnsi="Times New Roman" w:cs="Times New Roman"/>
                <w:sz w:val="18"/>
                <w:szCs w:val="18"/>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rPr>
                <w:rFonts w:hint="eastAsia" w:ascii="Times New Roman" w:hAnsi="Times New Roman" w:cs="Times New Roman"/>
                <w:sz w:val="18"/>
                <w:szCs w:val="18"/>
              </w:rPr>
            </w:pPr>
          </w:p>
        </w:tc>
        <w:tc>
          <w:tcPr>
            <w:tcW w:w="1389" w:type="dxa"/>
            <w:vAlign w:val="center"/>
          </w:tcPr>
          <w:p>
            <w:pPr>
              <w:rPr>
                <w:rFonts w:hint="default" w:ascii="Times New Roman" w:hAnsi="Times New Roman" w:eastAsia="宋体" w:cs="Times New Roman"/>
                <w:kern w:val="2"/>
                <w:sz w:val="18"/>
                <w:szCs w:val="18"/>
                <w:lang w:val="en-US" w:eastAsia="zh-CN" w:bidi="ar-SA"/>
              </w:rPr>
            </w:pPr>
            <w:r>
              <w:rPr>
                <w:rFonts w:hint="eastAsia" w:cs="Times New Roman"/>
                <w:sz w:val="18"/>
                <w:szCs w:val="18"/>
                <w:lang w:val="en-US" w:eastAsia="zh-CN"/>
              </w:rPr>
              <w:t>15:0</w:t>
            </w:r>
            <w:r>
              <w:rPr>
                <w:rFonts w:hint="eastAsia" w:ascii="Times New Roman" w:hAnsi="Times New Roman" w:cs="Times New Roman"/>
                <w:sz w:val="18"/>
                <w:szCs w:val="18"/>
                <w:lang w:val="en-US" w:eastAsia="zh-CN"/>
              </w:rPr>
              <w:t>0-</w:t>
            </w:r>
            <w:r>
              <w:rPr>
                <w:rFonts w:hint="eastAsia" w:cs="Times New Roman"/>
                <w:sz w:val="18"/>
                <w:szCs w:val="18"/>
                <w:lang w:val="en-US" w:eastAsia="zh-CN"/>
              </w:rPr>
              <w:t>16:30</w:t>
            </w:r>
          </w:p>
        </w:tc>
        <w:tc>
          <w:tcPr>
            <w:tcW w:w="6651" w:type="dxa"/>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四、</w:t>
            </w:r>
            <w:r>
              <w:rPr>
                <w:rFonts w:hint="eastAsia" w:ascii="Times New Roman" w:hAnsi="Times New Roman" w:cs="Times New Roman"/>
                <w:sz w:val="18"/>
                <w:szCs w:val="18"/>
              </w:rPr>
              <w:t>各管理体系的运行情况：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管理方针制定与贯彻情况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管理目标及完成统计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员工对相关标准的认知和能力（贯标培训、应知应会、持证上岗等）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相关方/客户的反馈</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内审的策划和实施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管理体系的评审</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对多场所/临时场所建立的控制的水平（适用时）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识别二阶段审核的资源配置情况和可行性</w:t>
            </w:r>
          </w:p>
        </w:tc>
        <w:tc>
          <w:tcPr>
            <w:tcW w:w="1326" w:type="dxa"/>
            <w:tcBorders>
              <w:right w:val="single" w:color="auto" w:sz="8" w:space="0"/>
            </w:tcBorders>
            <w:vAlign w:val="center"/>
          </w:tcPr>
          <w:p>
            <w:pPr>
              <w:rPr>
                <w:rFonts w:hint="eastAsia" w:ascii="Times New Roman" w:hAnsi="Times New Roman" w:eastAsia="宋体" w:cs="Times New Roman"/>
                <w:sz w:val="18"/>
                <w:szCs w:val="18"/>
                <w:lang w:eastAsia="zh-CN"/>
              </w:rPr>
            </w:pPr>
            <w:r>
              <w:rPr>
                <w:sz w:val="21"/>
                <w:szCs w:val="21"/>
              </w:rPr>
              <w:t>ISC-201919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cs="Times New Roman"/>
                <w:sz w:val="18"/>
                <w:szCs w:val="18"/>
                <w:lang w:val="en-US" w:eastAsia="zh-CN"/>
              </w:rPr>
              <w:t>8:</w:t>
            </w:r>
            <w:r>
              <w:rPr>
                <w:rFonts w:hint="eastAsia" w:ascii="Times New Roman" w:hAnsi="Times New Roman" w:cs="Times New Roman"/>
                <w:sz w:val="18"/>
                <w:szCs w:val="18"/>
                <w:lang w:val="en-US" w:eastAsia="zh-CN"/>
              </w:rPr>
              <w:t>30-1</w:t>
            </w:r>
            <w:r>
              <w:rPr>
                <w:rFonts w:hint="eastAsia" w:cs="Times New Roman"/>
                <w:sz w:val="18"/>
                <w:szCs w:val="18"/>
                <w:lang w:val="en-US" w:eastAsia="zh-CN"/>
              </w:rPr>
              <w:t>2:0</w:t>
            </w:r>
            <w:r>
              <w:rPr>
                <w:rFonts w:hint="eastAsia" w:ascii="Times New Roman" w:hAnsi="Times New Roman" w:cs="Times New Roman"/>
                <w:sz w:val="18"/>
                <w:szCs w:val="18"/>
                <w:lang w:val="en-US" w:eastAsia="zh-CN"/>
              </w:rPr>
              <w:t>0</w:t>
            </w:r>
          </w:p>
        </w:tc>
        <w:tc>
          <w:tcPr>
            <w:tcW w:w="6651"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五、</w:t>
            </w:r>
            <w:r>
              <w:rPr>
                <w:rFonts w:hint="eastAsia" w:ascii="Times New Roman" w:hAnsi="Times New Roman" w:cs="Times New Roman"/>
                <w:sz w:val="18"/>
                <w:szCs w:val="18"/>
              </w:rPr>
              <w:t>EnMS运行情况：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查看能源评审报告的编制</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 xml:space="preserve">了解能源使用种类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 xml:space="preserve"> 查看确定主要能源使用及识别影响主要能源使用的相关变量的合理性 </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了解能源绩效改进和控制措施的实施</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了解适用的环境法律和其他要求的获取、识别程序实施情况和合规性评价</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查看合规性证明（新扩建的节能评估、节能效果监测或后评估报告、国家限额标准符合性、地方政府下达目标指标的符合性）</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7、</w:t>
            </w:r>
            <w:r>
              <w:rPr>
                <w:rFonts w:hint="eastAsia" w:ascii="Times New Roman" w:hAnsi="Times New Roman" w:cs="Times New Roman"/>
                <w:sz w:val="18"/>
                <w:szCs w:val="18"/>
              </w:rPr>
              <w:t>了解能源计量管理、计量器具配备率、准确度等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8、</w:t>
            </w:r>
            <w:r>
              <w:rPr>
                <w:rFonts w:hint="eastAsia" w:ascii="Times New Roman" w:hAnsi="Times New Roman" w:cs="Times New Roman"/>
                <w:sz w:val="18"/>
                <w:szCs w:val="18"/>
              </w:rPr>
              <w:t>了解主要耗能设备能效测试</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9、</w:t>
            </w:r>
            <w:r>
              <w:rPr>
                <w:rFonts w:hint="eastAsia" w:ascii="Times New Roman" w:hAnsi="Times New Roman" w:cs="Times New Roman"/>
                <w:sz w:val="18"/>
                <w:szCs w:val="18"/>
              </w:rPr>
              <w:t>了解高耗能淘汰落后设备的识别和更新情况</w:t>
            </w:r>
          </w:p>
        </w:tc>
        <w:tc>
          <w:tcPr>
            <w:tcW w:w="1326" w:type="dxa"/>
            <w:tcBorders>
              <w:right w:val="single" w:color="auto" w:sz="8" w:space="0"/>
            </w:tcBorders>
            <w:shd w:val="clear" w:color="auto" w:fill="92D050"/>
            <w:vAlign w:val="center"/>
          </w:tcPr>
          <w:p>
            <w:pPr>
              <w:rPr>
                <w:sz w:val="21"/>
                <w:szCs w:val="21"/>
              </w:rPr>
            </w:pPr>
            <w:r>
              <w:rPr>
                <w:sz w:val="21"/>
                <w:szCs w:val="21"/>
              </w:rPr>
              <w:t>ISC-72033</w:t>
            </w:r>
          </w:p>
          <w:p>
            <w:pPr>
              <w:rPr>
                <w:rFonts w:hint="eastAsia"/>
                <w:sz w:val="21"/>
                <w:szCs w:val="21"/>
              </w:rPr>
            </w:pPr>
            <w:r>
              <w:rPr>
                <w:sz w:val="18"/>
                <w:szCs w:val="18"/>
              </w:rPr>
              <w:t>ISC-JSZJ-289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rPr>
                <w:rFonts w:hint="eastAsia" w:ascii="Times New Roman" w:hAnsi="Times New Roman" w:cs="Times New Roman"/>
                <w:sz w:val="18"/>
                <w:szCs w:val="18"/>
              </w:rPr>
            </w:pPr>
          </w:p>
        </w:tc>
        <w:tc>
          <w:tcPr>
            <w:tcW w:w="1389" w:type="dxa"/>
            <w:shd w:val="clear" w:color="auto" w:fill="92D050"/>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sz w:val="18"/>
                <w:szCs w:val="18"/>
                <w:lang w:val="en-US" w:eastAsia="zh-CN"/>
              </w:rPr>
              <w:t>13</w:t>
            </w:r>
            <w:r>
              <w:rPr>
                <w:rFonts w:hint="eastAsia" w:cs="Times New Roman"/>
                <w:sz w:val="18"/>
                <w:szCs w:val="18"/>
                <w:lang w:val="en-US" w:eastAsia="zh-CN"/>
              </w:rPr>
              <w:t>:0</w:t>
            </w:r>
            <w:r>
              <w:rPr>
                <w:rFonts w:hint="eastAsia" w:ascii="Times New Roman" w:hAnsi="Times New Roman" w:cs="Times New Roman"/>
                <w:sz w:val="18"/>
                <w:szCs w:val="18"/>
                <w:lang w:val="en-US" w:eastAsia="zh-CN"/>
              </w:rPr>
              <w:t>0-1</w:t>
            </w:r>
            <w:r>
              <w:rPr>
                <w:rFonts w:hint="eastAsia" w:cs="Times New Roman"/>
                <w:sz w:val="18"/>
                <w:szCs w:val="18"/>
                <w:lang w:val="en-US" w:eastAsia="zh-CN"/>
              </w:rPr>
              <w:t>6:</w:t>
            </w:r>
            <w:r>
              <w:rPr>
                <w:rFonts w:hint="eastAsia" w:ascii="Times New Roman" w:hAnsi="Times New Roman" w:cs="Times New Roman"/>
                <w:sz w:val="18"/>
                <w:szCs w:val="18"/>
                <w:lang w:val="en-US" w:eastAsia="zh-CN"/>
              </w:rPr>
              <w:t>30</w:t>
            </w:r>
          </w:p>
        </w:tc>
        <w:tc>
          <w:tcPr>
            <w:tcW w:w="6651" w:type="dxa"/>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六、</w:t>
            </w:r>
            <w:r>
              <w:rPr>
                <w:rFonts w:hint="eastAsia" w:ascii="Times New Roman" w:hAnsi="Times New Roman" w:cs="Times New Roman"/>
                <w:sz w:val="18"/>
                <w:szCs w:val="18"/>
              </w:rPr>
              <w:t>EnMS场所巡查:</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1、</w:t>
            </w:r>
            <w:r>
              <w:rPr>
                <w:rFonts w:hint="eastAsia" w:ascii="Times New Roman" w:hAnsi="Times New Roman" w:cs="Times New Roman"/>
                <w:sz w:val="18"/>
                <w:szCs w:val="18"/>
              </w:rPr>
              <w:t>巡视生产区域（厂区、车间等主要能源使用区域）</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w:t>
            </w:r>
            <w:r>
              <w:rPr>
                <w:rFonts w:hint="eastAsia" w:ascii="Times New Roman" w:hAnsi="Times New Roman" w:cs="Times New Roman"/>
                <w:sz w:val="18"/>
                <w:szCs w:val="18"/>
              </w:rPr>
              <w:t>巡视动力设施和辅助设施（锅炉房、高低压配电室、空压站、制冷站、改建/扩建施工现场等）</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3、</w:t>
            </w:r>
            <w:r>
              <w:rPr>
                <w:rFonts w:hint="eastAsia" w:ascii="Times New Roman" w:hAnsi="Times New Roman" w:cs="Times New Roman"/>
                <w:sz w:val="18"/>
                <w:szCs w:val="18"/>
              </w:rPr>
              <w:t>现场核实能源计量的管理</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4、</w:t>
            </w:r>
            <w:r>
              <w:rPr>
                <w:rFonts w:hint="eastAsia" w:ascii="Times New Roman" w:hAnsi="Times New Roman" w:cs="Times New Roman"/>
                <w:sz w:val="18"/>
                <w:szCs w:val="18"/>
              </w:rPr>
              <w:t>观察节能设施运行情况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5、</w:t>
            </w:r>
            <w:r>
              <w:rPr>
                <w:rFonts w:hint="eastAsia" w:ascii="Times New Roman" w:hAnsi="Times New Roman" w:cs="Times New Roman"/>
                <w:sz w:val="18"/>
                <w:szCs w:val="18"/>
              </w:rPr>
              <w:t>观察监视和测量设备的种类并了解检定/校准情况</w:t>
            </w:r>
          </w:p>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6、</w:t>
            </w:r>
            <w:r>
              <w:rPr>
                <w:rFonts w:hint="eastAsia" w:ascii="Times New Roman" w:hAnsi="Times New Roman" w:cs="Times New Roman"/>
                <w:sz w:val="18"/>
                <w:szCs w:val="18"/>
              </w:rPr>
              <w:t>观察现场能源的跑冒滴漏现象</w:t>
            </w:r>
          </w:p>
        </w:tc>
        <w:tc>
          <w:tcPr>
            <w:tcW w:w="1326" w:type="dxa"/>
            <w:tcBorders>
              <w:right w:val="single" w:color="auto" w:sz="8" w:space="0"/>
            </w:tcBorders>
            <w:shd w:val="clear" w:color="auto" w:fill="92D050"/>
            <w:vAlign w:val="center"/>
          </w:tcPr>
          <w:p>
            <w:pPr>
              <w:rPr>
                <w:sz w:val="21"/>
                <w:szCs w:val="21"/>
              </w:rPr>
            </w:pPr>
            <w:r>
              <w:rPr>
                <w:sz w:val="21"/>
                <w:szCs w:val="21"/>
              </w:rPr>
              <w:t>ISC-72033</w:t>
            </w:r>
          </w:p>
          <w:p>
            <w:pPr>
              <w:rPr>
                <w:rFonts w:hint="eastAsia"/>
                <w:sz w:val="21"/>
                <w:szCs w:val="21"/>
              </w:rPr>
            </w:pPr>
            <w:r>
              <w:rPr>
                <w:sz w:val="18"/>
                <w:szCs w:val="18"/>
              </w:rPr>
              <w:t>ISC-JSZJ-289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011" w:type="dxa"/>
            <w:tcBorders>
              <w:left w:val="single" w:color="auto" w:sz="8" w:space="0"/>
            </w:tcBorders>
            <w:shd w:val="clear" w:color="auto" w:fill="92D050"/>
            <w:vAlign w:val="center"/>
          </w:tcPr>
          <w:p>
            <w:pPr>
              <w:rPr>
                <w:rFonts w:hint="eastAsia" w:ascii="Times New Roman" w:hAnsi="Times New Roman" w:cs="Times New Roman"/>
                <w:sz w:val="18"/>
                <w:szCs w:val="18"/>
              </w:rPr>
            </w:pPr>
            <w:r>
              <w:rPr>
                <w:rFonts w:hint="eastAsia" w:ascii="Times New Roman" w:hAnsi="Times New Roman" w:cs="Times New Roman"/>
                <w:sz w:val="18"/>
                <w:szCs w:val="18"/>
                <w:lang w:val="en-US" w:eastAsia="zh-CN"/>
              </w:rPr>
              <w:t>2021.4.26</w:t>
            </w:r>
          </w:p>
        </w:tc>
        <w:tc>
          <w:tcPr>
            <w:tcW w:w="1389" w:type="dxa"/>
            <w:shd w:val="clear" w:color="auto" w:fill="92D050"/>
            <w:vAlign w:val="center"/>
          </w:tcPr>
          <w:p>
            <w:pP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16</w:t>
            </w:r>
            <w:r>
              <w:rPr>
                <w:rFonts w:hint="eastAsia" w:cs="Times New Roman"/>
                <w:sz w:val="18"/>
                <w:szCs w:val="18"/>
                <w:lang w:val="en-US" w:eastAsia="zh-CN"/>
              </w:rPr>
              <w:t>:</w:t>
            </w:r>
            <w:r>
              <w:rPr>
                <w:rFonts w:hint="eastAsia" w:ascii="Times New Roman" w:hAnsi="Times New Roman" w:cs="Times New Roman"/>
                <w:sz w:val="18"/>
                <w:szCs w:val="18"/>
                <w:lang w:val="en-US" w:eastAsia="zh-CN"/>
              </w:rPr>
              <w:t>30-1</w:t>
            </w:r>
            <w:r>
              <w:rPr>
                <w:rFonts w:hint="eastAsia" w:cs="Times New Roman"/>
                <w:sz w:val="18"/>
                <w:szCs w:val="18"/>
                <w:lang w:val="en-US" w:eastAsia="zh-CN"/>
              </w:rPr>
              <w:t>7:</w:t>
            </w:r>
            <w:r>
              <w:rPr>
                <w:rFonts w:hint="eastAsia" w:ascii="Times New Roman" w:hAnsi="Times New Roman" w:cs="Times New Roman"/>
                <w:sz w:val="18"/>
                <w:szCs w:val="18"/>
                <w:lang w:val="en-US" w:eastAsia="zh-CN"/>
              </w:rPr>
              <w:t>00</w:t>
            </w:r>
          </w:p>
        </w:tc>
        <w:tc>
          <w:tcPr>
            <w:tcW w:w="6651" w:type="dxa"/>
            <w:shd w:val="clear" w:color="auto" w:fill="92D050"/>
            <w:vAlign w:val="center"/>
          </w:tcPr>
          <w:p>
            <w:pPr>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末次会议</w:t>
            </w:r>
          </w:p>
        </w:tc>
        <w:tc>
          <w:tcPr>
            <w:tcW w:w="1326" w:type="dxa"/>
            <w:tcBorders>
              <w:right w:val="single" w:color="auto" w:sz="8" w:space="0"/>
            </w:tcBorders>
            <w:shd w:val="clear" w:color="auto" w:fill="92D050"/>
            <w:vAlign w:val="center"/>
          </w:tcPr>
          <w:p>
            <w:pPr>
              <w:rPr>
                <w:sz w:val="21"/>
                <w:szCs w:val="21"/>
              </w:rPr>
            </w:pPr>
            <w:r>
              <w:rPr>
                <w:sz w:val="21"/>
                <w:szCs w:val="21"/>
              </w:rPr>
              <w:t>ISC-72033</w:t>
            </w:r>
          </w:p>
          <w:p>
            <w:pPr>
              <w:rPr>
                <w:sz w:val="21"/>
                <w:szCs w:val="21"/>
              </w:rPr>
            </w:pPr>
            <w:r>
              <w:rPr>
                <w:sz w:val="21"/>
                <w:szCs w:val="21"/>
              </w:rPr>
              <w:t>ISC-201919</w:t>
            </w:r>
          </w:p>
          <w:p>
            <w:pPr>
              <w:rPr>
                <w:rFonts w:hint="eastAsia"/>
                <w:sz w:val="21"/>
                <w:szCs w:val="21"/>
                <w:lang w:val="en-US" w:eastAsia="zh-CN"/>
              </w:rPr>
            </w:pPr>
            <w:r>
              <w:rPr>
                <w:sz w:val="18"/>
                <w:szCs w:val="18"/>
              </w:rPr>
              <w:t>ISC-JSZJ-289</w:t>
            </w:r>
          </w:p>
        </w:tc>
      </w:tr>
    </w:tbl>
    <w:p>
      <w:pPr>
        <w:snapToGrid w:val="0"/>
        <w:spacing w:before="163" w:beforeLines="50" w:line="320" w:lineRule="exact"/>
        <w:ind w:firstLine="4000" w:firstLineChars="1250"/>
        <w:rPr>
          <w:rFonts w:hint="eastAsia" w:asciiTheme="minorEastAsia" w:hAnsiTheme="minorEastAsia" w:eastAsiaTheme="minorEastAsia"/>
          <w:sz w:val="32"/>
          <w:szCs w:val="32"/>
        </w:rPr>
      </w:pPr>
    </w:p>
    <w:p>
      <w:pPr>
        <w:spacing w:line="300" w:lineRule="exact"/>
        <w:ind w:firstLine="4156" w:firstLineChars="2300"/>
        <w:rPr>
          <w:b/>
          <w:color w:val="000000"/>
          <w:sz w:val="18"/>
          <w:szCs w:val="18"/>
        </w:rPr>
      </w:pPr>
    </w:p>
    <w:p>
      <w:pPr>
        <w:tabs>
          <w:tab w:val="left" w:pos="432"/>
        </w:tabs>
        <w:spacing w:line="360" w:lineRule="auto"/>
        <w:ind w:left="432"/>
        <w:textAlignment w:val="center"/>
        <w:rPr>
          <w:b/>
          <w:sz w:val="21"/>
          <w:szCs w:val="21"/>
        </w:rPr>
      </w:pPr>
      <w:r>
        <w:rPr>
          <w:rFonts w:hint="eastAsia"/>
          <w:b/>
          <w:color w:val="000000"/>
          <w:sz w:val="21"/>
          <w:szCs w:val="21"/>
        </w:rPr>
        <w:t>注:</w:t>
      </w:r>
      <w:r>
        <w:rPr>
          <w:rFonts w:hint="eastAsia"/>
          <w:sz w:val="21"/>
          <w:szCs w:val="21"/>
        </w:rPr>
        <w:t>1、</w:t>
      </w:r>
      <w:r>
        <w:rPr>
          <w:rFonts w:hint="eastAsia"/>
          <w:b/>
          <w:sz w:val="21"/>
          <w:szCs w:val="21"/>
        </w:rPr>
        <w:t>一阶段要在现场核实以下内容并填写“申请评审信息（初审/再认证）现场确认表”：</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1）营业执照或相关证件副本原件；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2）生产（安全）许可证、行业许可证、3C证书原件；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3）计量器具的检定证书原件、特种设备备案登记号及鉴定证书原件；产品标准的版本、企标的备案号（适用时）；</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4）型式试验报告；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 xml:space="preserve">5）地理位置图、污水管网图； </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6）生产工艺流程示意图（建设单位还需提供在建项目清单）</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7）环境影响评价报告及批复、“三同时”验收报告；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8）安全、卫生评价报告及批复、“三同时”验收报告；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9）消防验收报告；</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10）由法定资格的环境监测部门对各项污染物的监测数据；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11）由法定资格的劳动、卫生监测部门对组织特种设备、生产车间内有害物质的监测数据；</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12）排污许可证、排污申报登记注册注明、总量控制指标；</w:t>
      </w:r>
    </w:p>
    <w:p>
      <w:pPr>
        <w:tabs>
          <w:tab w:val="left" w:pos="432"/>
        </w:tabs>
        <w:spacing w:line="360" w:lineRule="auto"/>
        <w:ind w:left="432"/>
        <w:textAlignment w:val="center"/>
        <w:rPr>
          <w:rFonts w:ascii="华文细黑" w:hAnsi="华文细黑" w:eastAsia="华文细黑"/>
          <w:b/>
          <w:sz w:val="21"/>
          <w:szCs w:val="21"/>
        </w:rPr>
      </w:pPr>
      <w:r>
        <w:rPr>
          <w:rFonts w:hint="eastAsia" w:ascii="华文细黑" w:hAnsi="华文细黑" w:eastAsia="华文细黑"/>
          <w:b/>
          <w:sz w:val="21"/>
          <w:szCs w:val="21"/>
        </w:rPr>
        <w:t>13）主要资源、能源使用、消耗清单、危险化学品清单。</w:t>
      </w:r>
    </w:p>
    <w:p>
      <w:pPr>
        <w:snapToGrid w:val="0"/>
        <w:spacing w:line="360" w:lineRule="auto"/>
        <w:ind w:left="843" w:hanging="843" w:hangingChars="400"/>
        <w:rPr>
          <w:b/>
          <w:sz w:val="21"/>
          <w:szCs w:val="21"/>
        </w:rPr>
      </w:pPr>
      <w:r>
        <w:rPr>
          <w:rFonts w:hint="eastAsia"/>
          <w:b/>
          <w:sz w:val="21"/>
          <w:szCs w:val="21"/>
        </w:rPr>
        <w:t>2、请在选中的“□”内打“×”。</w:t>
      </w:r>
    </w:p>
    <w:p>
      <w:pPr>
        <w:spacing w:line="360" w:lineRule="auto"/>
        <w:ind w:firstLine="422" w:firstLineChars="200"/>
        <w:jc w:val="left"/>
        <w:rPr>
          <w:b/>
          <w:sz w:val="21"/>
          <w:szCs w:val="21"/>
        </w:rPr>
      </w:pPr>
      <w:r>
        <w:rPr>
          <w:rFonts w:hint="eastAsia"/>
          <w:b/>
          <w:sz w:val="21"/>
          <w:szCs w:val="21"/>
        </w:rPr>
        <w:t>3、如工作语言、审核报告语言不是中文，应在审核计划中说明语言种类；</w:t>
      </w:r>
    </w:p>
    <w:p>
      <w:pPr>
        <w:spacing w:line="360" w:lineRule="auto"/>
        <w:ind w:firstLine="422" w:firstLineChars="200"/>
        <w:jc w:val="left"/>
        <w:rPr>
          <w:b/>
          <w:sz w:val="21"/>
          <w:szCs w:val="21"/>
        </w:rPr>
      </w:pPr>
      <w:r>
        <w:rPr>
          <w:rFonts w:hint="eastAsia"/>
          <w:b/>
          <w:sz w:val="21"/>
          <w:szCs w:val="21"/>
        </w:rPr>
        <w:t>4、主要审核内容</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方针的制定与贯彻情况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环境因素的识别和评价程序合理性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危险源的辨识和评价程序合理性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体系覆盖产品及产品生产关键过程、特殊过程的识别和确认情况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质量管理体系删减条款的合理性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适用的法律和其他要求的获取、识别程序实施情况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组织的目标、指标和管理方案合理性及实施情况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组织法律法规的遵循情况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内审和管理评审的实施情况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 xml:space="preserve">管理体系文件审核 </w:t>
      </w:r>
    </w:p>
    <w:p>
      <w:pPr>
        <w:pStyle w:val="7"/>
        <w:numPr>
          <w:ilvl w:val="0"/>
          <w:numId w:val="1"/>
        </w:numPr>
        <w:tabs>
          <w:tab w:val="left" w:pos="432"/>
        </w:tabs>
        <w:spacing w:line="360" w:lineRule="auto"/>
        <w:ind w:firstLineChars="0"/>
        <w:textAlignment w:val="center"/>
        <w:rPr>
          <w:rFonts w:ascii="华文细黑" w:hAnsi="华文细黑" w:eastAsia="华文细黑"/>
          <w:b/>
          <w:sz w:val="21"/>
          <w:szCs w:val="21"/>
        </w:rPr>
      </w:pPr>
      <w:r>
        <w:rPr>
          <w:rFonts w:hint="eastAsia" w:ascii="华文细黑" w:hAnsi="华文细黑" w:eastAsia="华文细黑"/>
          <w:b/>
          <w:sz w:val="21"/>
          <w:szCs w:val="21"/>
        </w:rPr>
        <w:t>识别二阶段审核的资源配置情况</w:t>
      </w:r>
    </w:p>
    <w:p>
      <w:pPr>
        <w:spacing w:line="360" w:lineRule="auto"/>
        <w:ind w:firstLine="422" w:firstLineChars="200"/>
        <w:jc w:val="left"/>
        <w:rPr>
          <w:b/>
          <w:sz w:val="21"/>
          <w:szCs w:val="21"/>
        </w:rPr>
      </w:pPr>
      <w:r>
        <w:rPr>
          <w:rFonts w:hint="eastAsia"/>
          <w:b/>
          <w:sz w:val="21"/>
          <w:szCs w:val="21"/>
        </w:rPr>
        <w:t>4、审核报告仅发放至审核委托方及本公司。</w:t>
      </w:r>
    </w:p>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330.5pt;margin-top:2.2pt;height:20.2pt;width:155.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一阶段审核计划(03版)</w:t>
                </w:r>
              </w:p>
            </w:txbxContent>
          </v:textbox>
        </v:shape>
      </w:pict>
    </w:r>
    <w:r>
      <w:rPr>
        <w:rStyle w:val="11"/>
        <w:rFonts w:hint="default"/>
        <w:w w:val="90"/>
      </w:rPr>
      <w:t>Beijing International Standard united Certification Co.,Ltd.</w:t>
    </w:r>
  </w:p>
  <w:p>
    <w:pPr>
      <w:pStyle w:val="4"/>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91558"/>
    <w:multiLevelType w:val="multilevel"/>
    <w:tmpl w:val="11B91558"/>
    <w:lvl w:ilvl="0" w:tentative="0">
      <w:start w:val="1"/>
      <w:numFmt w:val="decimal"/>
      <w:lvlText w:val="%1)"/>
      <w:lvlJc w:val="left"/>
      <w:pPr>
        <w:ind w:left="852" w:hanging="42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1F94DFF"/>
    <w:rsid w:val="7E2C3B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189</Words>
  <Characters>1080</Characters>
  <Lines>9</Lines>
  <Paragraphs>2</Paragraphs>
  <TotalTime>3</TotalTime>
  <ScaleCrop>false</ScaleCrop>
  <LinksUpToDate>false</LinksUpToDate>
  <CharactersWithSpaces>1267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2015-06-17T12:16:00Z</dcterms:created>
  <dc:creator>微软用户</dc:creator>
  <cp:lastModifiedBy>Lenovo</cp:lastModifiedBy>
  <cp:lastPrinted>2019-03-27T03:10:00Z</cp:lastPrinted>
  <dcterms:modified xsi:type="dcterms:W3CDTF">2021-05-13T07:23:40Z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B6A9029526D64177A4C520E1957AFA5E</vt:lpwstr>
  </property>
</Properties>
</file>