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3"/>
        <w:gridCol w:w="1287"/>
        <w:gridCol w:w="1290"/>
        <w:gridCol w:w="1505"/>
        <w:gridCol w:w="1178"/>
        <w:gridCol w:w="1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重庆国本特卫保安服务有限公司</w:t>
            </w:r>
            <w:bookmarkEnd w:id="4"/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Q：29.10.07;35.12.00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E:29.10.07,35.12.00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O:29.10.07,35.12.00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叶明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Q:35.12.00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3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E:29.10.07,35.12.00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O:29.10.07,35.12.00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Q:29.10.07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签订合同——人员派驻——实施服务——满意度回访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安防设备的销售流程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签订合同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--采购产品--验收产品--交付客户。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保安服务流程风险：人员素质、服务质量达到客户要求、服务过程人员安全风险等；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安防设备的销售风险：销售产品质量、交付期限、货款回收等。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火灾和固废排放，采取管理方案和应急预案控制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火灾、触电和意外伤害，采取应急预案、管理方案和培训管理进行控制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《保安服务管理条例》、《中华人民共和国消费者权益保护法》、《中华人民共和国安全消防法》、《中华人民共和国劳动合同法》、《中华人民共和国安全生产法》等。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保安服务考核内容：服务质量（安全性、及时性、态度等）；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销售考核内容：产品质量、交付及时性，售后服务等。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90170</wp:posOffset>
            </wp:positionV>
            <wp:extent cx="508635" cy="321945"/>
            <wp:effectExtent l="0" t="0" r="9525" b="13335"/>
            <wp:wrapNone/>
            <wp:docPr id="52" name="图片 52" descr="ecc757a4fde7f2c302b34e66f765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ecc757a4fde7f2c302b34e66f7658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134620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99695</wp:posOffset>
            </wp:positionV>
            <wp:extent cx="371475" cy="341630"/>
            <wp:effectExtent l="0" t="0" r="9525" b="889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1076325" y="352425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2021.4.25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A34E08"/>
    <w:rsid w:val="29F441D2"/>
    <w:rsid w:val="79D9260E"/>
    <w:rsid w:val="7E927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2021-04-27T02:53:51Z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7BF8F7D148B2458BA8F8B09281AA95E9</vt:lpwstr>
  </property>
</Properties>
</file>