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53"/>
        <w:gridCol w:w="2042"/>
        <w:gridCol w:w="1088"/>
        <w:gridCol w:w="20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重庆国本科技有限公司</w:t>
            </w:r>
            <w:bookmarkEnd w:id="4"/>
          </w:p>
        </w:tc>
        <w:tc>
          <w:tcPr>
            <w:tcW w:w="10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E：29.12.00;33.02.02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计算机系统集成工艺流程：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项目立项→确定方案→合同签订→采购→安装调试→项目验收→交付。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电子科技设备、安防产品、软硬件的销售流程图：</w:t>
            </w:r>
          </w:p>
          <w:p>
            <w:pP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签订合同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--采购产品--验收产品--交付客户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Style w:val="12"/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安装、调试为关键过程，隐蔽工程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、销售过程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为特殊过程。通过方案和规范进行控制。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1）潜在火灾；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固体废弃物排放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。控制措施：</w:t>
            </w:r>
            <w:r>
              <w:rPr>
                <w:rFonts w:hint="eastAsia"/>
                <w:color w:val="auto"/>
                <w:sz w:val="21"/>
                <w:szCs w:val="21"/>
              </w:rPr>
              <w:t>拟定管理方案和应急预案进行控制。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</w:rPr>
              <w:t>中华人民共和国计算机信息系统安全保护条例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视频安防监控制系统技术要求（</w:t>
            </w:r>
            <w:r>
              <w:rPr>
                <w:color w:val="000000" w:themeColor="text1"/>
                <w:sz w:val="20"/>
              </w:rPr>
              <w:t>GA/T367-2001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民用闭路监视电视系统工程技术规范（</w:t>
            </w:r>
            <w:r>
              <w:rPr>
                <w:color w:val="000000" w:themeColor="text1"/>
                <w:sz w:val="20"/>
              </w:rPr>
              <w:t>GB50198</w:t>
            </w:r>
            <w:r>
              <w:rPr>
                <w:rFonts w:hint="eastAsia"/>
                <w:color w:val="000000" w:themeColor="text1"/>
                <w:sz w:val="20"/>
              </w:rPr>
              <w:t>－</w:t>
            </w:r>
            <w:r>
              <w:rPr>
                <w:color w:val="000000" w:themeColor="text1"/>
                <w:sz w:val="20"/>
              </w:rPr>
              <w:t>94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有线电视系统工程技术规范（</w:t>
            </w:r>
            <w:r>
              <w:rPr>
                <w:color w:val="000000" w:themeColor="text1"/>
                <w:sz w:val="20"/>
              </w:rPr>
              <w:t>GB50200</w:t>
            </w:r>
            <w:r>
              <w:rPr>
                <w:rFonts w:hint="eastAsia"/>
                <w:color w:val="000000" w:themeColor="text1"/>
                <w:sz w:val="20"/>
              </w:rPr>
              <w:t>－</w:t>
            </w:r>
            <w:r>
              <w:rPr>
                <w:color w:val="000000" w:themeColor="text1"/>
                <w:sz w:val="20"/>
              </w:rPr>
              <w:t>94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《安全防范工程技术规范》GB50348-2004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0"/>
              </w:rPr>
              <w:t>电子计算机机房设计规范（GB 50174－9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lang w:eastAsia="zh-CN"/>
              </w:rPr>
              <w:t>）、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</w:rPr>
              <w:t>《视频安防监控数字录像设备》GB20815-2006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</w:rPr>
              <w:t>《金属线槽配线安装工艺标准》（313-1998）合同协议等。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资料、功能等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102235</wp:posOffset>
            </wp:positionV>
            <wp:extent cx="354330" cy="328295"/>
            <wp:effectExtent l="0" t="0" r="1270" b="1905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99695</wp:posOffset>
            </wp:positionV>
            <wp:extent cx="354330" cy="328295"/>
            <wp:effectExtent l="0" t="0" r="1270" b="1905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25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0B0844"/>
    <w:rsid w:val="38447BDB"/>
    <w:rsid w:val="417C66A6"/>
    <w:rsid w:val="422B5759"/>
    <w:rsid w:val="422C6963"/>
    <w:rsid w:val="6C9938B9"/>
    <w:rsid w:val="7D176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2021-05-03T14:08:01Z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51AFF08707F940F382D44886C5D64038</vt:lpwstr>
  </property>
</Properties>
</file>