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四川康利达包装有限公司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四川省德阳市高新技术产业园区天台山南路66号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张政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15503232345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唐海红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0638-2019-Q-2021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资质范围内食品用塑料包装（塑料瓶、其他类塑料瓶盖）生产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14.02.02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2021年04月29日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2021年04月29日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2021年04月2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2021年04月2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tbl>
            <w:tblPr>
              <w:tblStyle w:val="5"/>
              <w:tblpPr w:leftFromText="180" w:rightFromText="180" w:vertAnchor="text" w:horzAnchor="page" w:tblpX="865" w:tblpY="382"/>
              <w:tblOverlap w:val="never"/>
              <w:tblW w:w="103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37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01" w:hRule="atLeast"/>
              </w:trPr>
              <w:tc>
                <w:tcPr>
                  <w:tcW w:w="10377" w:type="dxa"/>
                  <w:tcBorders>
                    <w:top w:val="single" w:color="auto" w:sz="8" w:space="0"/>
                    <w:left w:val="single" w:color="auto" w:sz="8" w:space="0"/>
                    <w:bottom w:val="nil"/>
                    <w:right w:val="single" w:color="auto" w:sz="8" w:space="0"/>
                  </w:tcBorders>
                  <w:vAlign w:val="center"/>
                </w:tcPr>
                <w:p>
                  <w:pPr>
                    <w:snapToGrid w:val="0"/>
                    <w:spacing w:line="280" w:lineRule="exact"/>
                    <w:jc w:val="both"/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</w:pPr>
                </w:p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  <w:t>审核日程安排</w:t>
                  </w:r>
                </w:p>
                <w:tbl>
                  <w:tblPr>
                    <w:tblStyle w:val="5"/>
                    <w:tblpPr w:leftFromText="180" w:rightFromText="180" w:vertAnchor="text" w:horzAnchor="page" w:tblpX="801" w:tblpY="375"/>
                    <w:tblOverlap w:val="never"/>
                    <w:tblW w:w="10321" w:type="dxa"/>
                    <w:tblInd w:w="0" w:type="dxa"/>
                    <w:tblLayout w:type="fixed"/>
                    <w:tblCellMar>
                      <w:top w:w="0" w:type="dxa"/>
                      <w:left w:w="28" w:type="dxa"/>
                      <w:bottom w:w="0" w:type="dxa"/>
                      <w:right w:w="28" w:type="dxa"/>
                    </w:tblCellMar>
                  </w:tblPr>
                  <w:tblGrid>
                    <w:gridCol w:w="1128"/>
                    <w:gridCol w:w="1467"/>
                    <w:gridCol w:w="7726"/>
                  </w:tblGrid>
                  <w:tr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259" w:hRule="atLeast"/>
                    </w:trPr>
                    <w:tc>
                      <w:tcPr>
                        <w:tcW w:w="2595" w:type="dxa"/>
                        <w:gridSpan w:val="2"/>
                        <w:vMerge w:val="restart"/>
                        <w:tcBorders>
                          <w:top w:val="single" w:color="auto" w:sz="6" w:space="0"/>
                          <w:left w:val="single" w:color="auto" w:sz="6" w:space="0"/>
                          <w:bottom w:val="nil"/>
                          <w:right w:val="single" w:color="auto" w:sz="6" w:space="0"/>
                          <w:tl2br w:val="single" w:color="auto" w:sz="4" w:space="0"/>
                        </w:tcBorders>
                        <w:noWrap w:val="0"/>
                        <w:vAlign w:val="top"/>
                      </w:tcPr>
                      <w:p>
                        <w:pPr>
                          <w:ind w:right="31" w:rightChars="13"/>
                          <w:jc w:val="right"/>
                          <w:rPr>
                            <w:rFonts w:hint="eastAsia" w:ascii="宋体" w:hAnsi="宋体"/>
                          </w:rPr>
                        </w:pPr>
                        <w:r>
                          <w:rPr>
                            <w:rFonts w:hint="eastAsia" w:ascii="宋体" w:hAnsi="宋体"/>
                          </w:rPr>
                          <w:t>安 排</w:t>
                        </w:r>
                      </w:p>
                      <w:p>
                        <w:pPr>
                          <w:ind w:firstLine="91" w:firstLineChars="38"/>
                          <w:rPr>
                            <w:rFonts w:hint="eastAsia" w:ascii="宋体" w:hAnsi="宋体"/>
                          </w:rPr>
                        </w:pPr>
                        <w:r>
                          <w:rPr>
                            <w:rFonts w:hint="eastAsia" w:ascii="宋体" w:hAnsi="宋体"/>
                          </w:rPr>
                          <w:t>时 间</w:t>
                        </w:r>
                      </w:p>
                    </w:tc>
                    <w:tc>
                      <w:tcPr>
                        <w:tcW w:w="7726" w:type="dxa"/>
                        <w:tcBorders>
                          <w:top w:val="single" w:color="auto" w:sz="6" w:space="0"/>
                          <w:left w:val="nil"/>
                          <w:bottom w:val="single" w:color="auto" w:sz="4" w:space="0"/>
                          <w:right w:val="single" w:color="auto" w:sz="6" w:space="0"/>
                        </w:tcBorders>
                        <w:noWrap w:val="0"/>
                        <w:vAlign w:val="top"/>
                      </w:tcPr>
                      <w:p>
                        <w:pPr>
                          <w:jc w:val="center"/>
                          <w:rPr>
                            <w:rFonts w:ascii="宋体" w:hAnsi="宋体"/>
                          </w:rPr>
                        </w:pPr>
                        <w:r>
                          <w:rPr>
                            <w:rFonts w:hint="eastAsia" w:ascii="宋体" w:hAnsi="宋体"/>
                          </w:rPr>
                          <w:t>审核部门/过程及涉及条款（参考）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290" w:hRule="atLeast"/>
                    </w:trPr>
                    <w:tc>
                      <w:tcPr>
                        <w:tcW w:w="2595" w:type="dxa"/>
                        <w:gridSpan w:val="2"/>
                        <w:vMerge w:val="continue"/>
                        <w:tcBorders>
                          <w:top w:val="nil"/>
                          <w:left w:val="single" w:color="auto" w:sz="6" w:space="0"/>
                          <w:bottom w:val="nil"/>
                          <w:right w:val="single" w:color="auto" w:sz="6" w:space="0"/>
                          <w:tl2br w:val="single" w:color="auto" w:sz="4" w:space="0"/>
                        </w:tcBorders>
                        <w:noWrap w:val="0"/>
                        <w:vAlign w:val="top"/>
                      </w:tcPr>
                      <w:p/>
                    </w:tc>
                    <w:tc>
                      <w:tcPr>
                        <w:tcW w:w="7726" w:type="dxa"/>
                        <w:tcBorders>
                          <w:top w:val="single" w:color="auto" w:sz="4" w:space="0"/>
                          <w:left w:val="nil"/>
                          <w:bottom w:val="single" w:color="auto" w:sz="4" w:space="0"/>
                          <w:right w:val="single" w:color="auto" w:sz="6" w:space="0"/>
                        </w:tcBorders>
                        <w:noWrap w:val="0"/>
                        <w:vAlign w:val="top"/>
                      </w:tcPr>
                      <w:p>
                        <w:pPr>
                          <w:jc w:val="center"/>
                          <w:rPr>
                            <w:rFonts w:hint="eastAsia" w:ascii="宋体" w:hAnsi="宋体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305" w:hRule="atLeast"/>
                    </w:trPr>
                    <w:tc>
                      <w:tcPr>
                        <w:tcW w:w="1128" w:type="dxa"/>
                        <w:vMerge w:val="restart"/>
                        <w:tcBorders>
                          <w:top w:val="single" w:color="auto" w:sz="4" w:space="0"/>
                          <w:left w:val="single" w:color="auto" w:sz="6" w:space="0"/>
                          <w:right w:val="single" w:color="auto" w:sz="6" w:space="0"/>
                        </w:tcBorders>
                        <w:noWrap w:val="0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宋体" w:hAnsi="宋体"/>
                          </w:rPr>
                        </w:pPr>
                        <w:r>
                          <w:rPr>
                            <w:rFonts w:hint="eastAsia" w:ascii="宋体" w:hAnsi="宋体"/>
                            <w:lang w:val="en-US" w:eastAsia="zh-CN"/>
                          </w:rPr>
                          <w:t>4</w:t>
                        </w:r>
                        <w:r>
                          <w:rPr>
                            <w:rFonts w:hint="eastAsia" w:ascii="宋体" w:hAnsi="宋体"/>
                          </w:rPr>
                          <w:t>月</w:t>
                        </w:r>
                        <w:r>
                          <w:rPr>
                            <w:rFonts w:hint="eastAsia" w:ascii="宋体" w:hAnsi="宋体"/>
                            <w:lang w:val="en-US" w:eastAsia="zh-CN"/>
                          </w:rPr>
                          <w:t>29</w:t>
                        </w:r>
                        <w:r>
                          <w:rPr>
                            <w:rFonts w:hint="eastAsia" w:ascii="宋体" w:hAnsi="宋体"/>
                          </w:rPr>
                          <w:t>日</w:t>
                        </w:r>
                      </w:p>
                      <w:p>
                        <w:pPr>
                          <w:jc w:val="center"/>
                          <w:rPr>
                            <w:rFonts w:ascii="宋体" w:hAnsi="宋体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宋体" w:hAnsi="宋体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宋体" w:hAnsi="宋体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宋体" w:hAnsi="宋体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宋体" w:hAnsi="宋体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宋体" w:hAnsi="宋体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宋体" w:hAnsi="宋体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宋体" w:hAnsi="宋体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宋体" w:hAnsi="宋体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宋体" w:hAnsi="宋体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宋体" w:hAnsi="宋体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宋体" w:hAnsi="宋体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宋体" w:hAnsi="宋体"/>
                          </w:rPr>
                        </w:pPr>
                      </w:p>
                    </w:tc>
                    <w:tc>
                      <w:tcPr>
                        <w:tcW w:w="1467" w:type="dxa"/>
                        <w:tcBorders>
                          <w:top w:val="single" w:color="auto" w:sz="4" w:space="0"/>
                          <w:left w:val="nil"/>
                          <w:bottom w:val="single" w:color="auto" w:sz="4" w:space="0"/>
                          <w:right w:val="single" w:color="auto" w:sz="6" w:space="0"/>
                        </w:tcBorders>
                        <w:noWrap w:val="0"/>
                        <w:vAlign w:val="top"/>
                      </w:tcPr>
                      <w:p>
                        <w:pP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  <w:lang w:val="en-US" w:eastAsia="zh-CN"/>
                          </w:rPr>
                          <w:t>8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  <w:t>：00-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  <w:lang w:val="en-US" w:eastAsia="zh-CN"/>
                          </w:rPr>
                          <w:t>8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  <w:t>：30</w:t>
                        </w:r>
                      </w:p>
                    </w:tc>
                    <w:tc>
                      <w:tcPr>
                        <w:tcW w:w="7726" w:type="dxa"/>
                        <w:tcBorders>
                          <w:top w:val="single" w:color="auto" w:sz="4" w:space="0"/>
                          <w:left w:val="single" w:color="auto" w:sz="6" w:space="0"/>
                          <w:bottom w:val="single" w:color="auto" w:sz="4" w:space="0"/>
                          <w:right w:val="single" w:color="auto" w:sz="6" w:space="0"/>
                        </w:tcBorders>
                        <w:noWrap w:val="0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/>
                            <w:sz w:val="18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  <w:t>首次会议：张心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1405" w:hRule="atLeast"/>
                    </w:trPr>
                    <w:tc>
                      <w:tcPr>
                        <w:tcW w:w="1128" w:type="dxa"/>
                        <w:vMerge w:val="continue"/>
                        <w:tcBorders>
                          <w:left w:val="single" w:color="auto" w:sz="6" w:space="0"/>
                          <w:right w:val="single" w:color="auto" w:sz="6" w:space="0"/>
                        </w:tcBorders>
                        <w:noWrap w:val="0"/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/>
                          </w:rPr>
                        </w:pPr>
                      </w:p>
                    </w:tc>
                    <w:tc>
                      <w:tcPr>
                        <w:tcW w:w="1467" w:type="dxa"/>
                        <w:tcBorders>
                          <w:top w:val="single" w:color="auto" w:sz="4" w:space="0"/>
                          <w:left w:val="nil"/>
                          <w:bottom w:val="single" w:color="auto" w:sz="4" w:space="0"/>
                          <w:right w:val="single" w:color="auto" w:sz="6" w:space="0"/>
                        </w:tcBorders>
                        <w:noWrap w:val="0"/>
                        <w:vAlign w:val="top"/>
                      </w:tcPr>
                      <w:p>
                        <w:pPr>
                          <w:rPr>
                            <w:rFonts w:hint="default" w:ascii="宋体" w:hAnsi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  <w:lang w:val="en-US" w:eastAsia="zh-CN"/>
                          </w:rPr>
                          <w:t>8:30-10:00</w:t>
                        </w:r>
                      </w:p>
                    </w:tc>
                    <w:tc>
                      <w:tcPr>
                        <w:tcW w:w="7726" w:type="dxa"/>
                        <w:tcBorders>
                          <w:top w:val="single" w:color="auto" w:sz="4" w:space="0"/>
                          <w:left w:val="single" w:color="auto" w:sz="6" w:space="0"/>
                          <w:bottom w:val="single" w:color="auto" w:sz="4" w:space="0"/>
                          <w:right w:val="single" w:color="auto" w:sz="6" w:space="0"/>
                        </w:tcBorders>
                        <w:noWrap w:val="0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新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  <w:t>管理层:</w:t>
                        </w:r>
                      </w:p>
                      <w:p>
                        <w:pPr>
                          <w:pStyle w:val="9"/>
                          <w:numPr>
                            <w:ilvl w:val="0"/>
                            <w:numId w:val="0"/>
                          </w:numPr>
                          <w:spacing w:line="300" w:lineRule="exact"/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  <w:t>4.1组织及其环境;4.2相关方需求与期望;4.3确定体系范围;4.4体系及其过程;5.1领导作用与承诺;5.2方针;5.3组织的角色、职责和权限；6.1应对风险和机遇的措施；6.2目标及其实现的策划；6.3变更的策划 ；9.3管理评审；10.1改进 总则；</w:t>
                        </w:r>
                      </w:p>
                      <w:p>
                        <w:pPr>
                          <w:pStyle w:val="9"/>
                          <w:numPr>
                            <w:ilvl w:val="0"/>
                            <w:numId w:val="0"/>
                          </w:numPr>
                          <w:spacing w:line="300" w:lineRule="exact"/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9"/>
                          <w:numPr>
                            <w:ilvl w:val="0"/>
                            <w:numId w:val="0"/>
                          </w:numPr>
                          <w:spacing w:line="300" w:lineRule="exact"/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  <w:t>标准/规范/法规的执行情况、上次审核不符合项的验证</w:t>
                        </w: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  <w:lang w:val="en-US" w:eastAsia="zh-CN"/>
                          </w:rPr>
                          <w:t>7.1.3、7.1.5</w:t>
                        </w: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  <w:lang w:eastAsia="zh-CN"/>
                          </w:rPr>
                          <w:t>）</w:t>
                        </w: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  <w:t>、认证证书、标志的使用情况、投诉或事故、监督抽查情况、体系变动</w:t>
                        </w:r>
                      </w:p>
                      <w:p>
                        <w:pPr>
                          <w:rPr>
                            <w:rFonts w:hint="eastAsia" w:ascii="宋体" w:hAnsi="宋体" w:cs="宋体"/>
                            <w:sz w:val="21"/>
                            <w:szCs w:val="21"/>
                          </w:rPr>
                        </w:pPr>
                      </w:p>
                    </w:tc>
                  </w:tr>
                  <w:tr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882" w:hRule="atLeast"/>
                    </w:trPr>
                    <w:tc>
                      <w:tcPr>
                        <w:tcW w:w="1128" w:type="dxa"/>
                        <w:vMerge w:val="continue"/>
                        <w:tcBorders>
                          <w:left w:val="single" w:color="auto" w:sz="6" w:space="0"/>
                          <w:right w:val="single" w:color="auto" w:sz="6" w:space="0"/>
                        </w:tcBorders>
                        <w:noWrap w:val="0"/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/>
                          </w:rPr>
                        </w:pPr>
                      </w:p>
                    </w:tc>
                    <w:tc>
                      <w:tcPr>
                        <w:tcW w:w="1467" w:type="dxa"/>
                        <w:tcBorders>
                          <w:top w:val="single" w:color="auto" w:sz="4" w:space="0"/>
                          <w:left w:val="nil"/>
                          <w:bottom w:val="single" w:color="auto" w:sz="4" w:space="0"/>
                          <w:right w:val="single" w:color="auto" w:sz="6" w:space="0"/>
                        </w:tcBorders>
                        <w:noWrap w:val="0"/>
                        <w:vAlign w:val="top"/>
                      </w:tcPr>
                      <w:p>
                        <w:pP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  <w:lang w:val="en-US" w:eastAsia="zh-CN"/>
                          </w:rPr>
                          <w:t>10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  <w:t>：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  <w:lang w:val="en-US" w:eastAsia="zh-CN"/>
                          </w:rPr>
                          <w:t>0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  <w:t>0-1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  <w:lang w:val="en-US" w:eastAsia="zh-CN"/>
                          </w:rPr>
                          <w:t>1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  <w:t>：00</w:t>
                        </w:r>
                      </w:p>
                    </w:tc>
                    <w:tc>
                      <w:tcPr>
                        <w:tcW w:w="7726" w:type="dxa"/>
                        <w:tcBorders>
                          <w:top w:val="single" w:color="auto" w:sz="4" w:space="0"/>
                          <w:left w:val="single" w:color="auto" w:sz="6" w:space="0"/>
                          <w:bottom w:val="single" w:color="auto" w:sz="4" w:space="0"/>
                          <w:right w:val="single" w:color="auto" w:sz="6" w:space="0"/>
                        </w:tcBorders>
                        <w:noWrap w:val="0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新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  <w:lang w:eastAsia="zh-CN"/>
                          </w:rPr>
                          <w:t>行政部</w:t>
                        </w: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  <w:t>:</w:t>
                        </w:r>
                      </w:p>
                      <w:p>
                        <w:pPr>
                          <w:rPr>
                            <w:rFonts w:hint="eastAsia" w:ascii="宋体" w:hAnsi="宋体" w:eastAsia="宋体" w:cs="新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  <w:t>5.3组织的角色、职责和权限；6.2质量目标及其实现的策划；</w:t>
                        </w:r>
                        <w:r>
                          <w:rPr>
                            <w:rFonts w:ascii="宋体" w:hAnsi="宋体" w:cs="新宋体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  <w:t>9.1.1监测、分析和评价总则；9.2内部审核；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560" w:hRule="atLeast"/>
                    </w:trPr>
                    <w:tc>
                      <w:tcPr>
                        <w:tcW w:w="1128" w:type="dxa"/>
                        <w:vMerge w:val="continue"/>
                        <w:tcBorders>
                          <w:left w:val="single" w:color="auto" w:sz="6" w:space="0"/>
                          <w:right w:val="single" w:color="auto" w:sz="6" w:space="0"/>
                        </w:tcBorders>
                        <w:noWrap w:val="0"/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/>
                          </w:rPr>
                        </w:pPr>
                      </w:p>
                    </w:tc>
                    <w:tc>
                      <w:tcPr>
                        <w:tcW w:w="1467" w:type="dxa"/>
                        <w:tcBorders>
                          <w:top w:val="single" w:color="auto" w:sz="4" w:space="0"/>
                          <w:left w:val="nil"/>
                          <w:bottom w:val="single" w:color="auto" w:sz="4" w:space="0"/>
                          <w:right w:val="single" w:color="auto" w:sz="6" w:space="0"/>
                        </w:tcBorders>
                        <w:noWrap w:val="0"/>
                        <w:vAlign w:val="top"/>
                      </w:tcPr>
                      <w:p>
                        <w:pPr>
                          <w:rPr>
                            <w:rFonts w:hint="eastAsia" w:ascii="宋体" w:hAnsi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  <w:lang w:val="en-US" w:eastAsia="zh-CN"/>
                          </w:rPr>
                          <w:t>11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  <w:t>：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  <w:lang w:val="en-US" w:eastAsia="zh-CN"/>
                          </w:rPr>
                          <w:t>0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  <w:t>0-1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  <w:t>：00</w:t>
                        </w:r>
                      </w:p>
                    </w:tc>
                    <w:tc>
                      <w:tcPr>
                        <w:tcW w:w="7726" w:type="dxa"/>
                        <w:tcBorders>
                          <w:top w:val="single" w:color="auto" w:sz="4" w:space="0"/>
                          <w:left w:val="single" w:color="auto" w:sz="6" w:space="0"/>
                          <w:bottom w:val="single" w:color="auto" w:sz="4" w:space="0"/>
                          <w:right w:val="single" w:color="auto" w:sz="6" w:space="0"/>
                        </w:tcBorders>
                        <w:noWrap w:val="0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新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  <w:lang w:eastAsia="zh-CN"/>
                          </w:rPr>
                          <w:t>销售</w:t>
                        </w: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  <w:t xml:space="preserve">部: </w:t>
                        </w:r>
                      </w:p>
                      <w:p>
                        <w:pPr>
                          <w:rPr>
                            <w:rFonts w:hint="eastAsia" w:ascii="宋体" w:hAnsi="宋体" w:cs="宋体"/>
                          </w:rPr>
                        </w:pP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  <w:t>5.3组织的角色、职责和权限；6.2质量目标及其实现的策划；8.</w:t>
                        </w: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hint="eastAsia" w:ascii="宋体" w:hAnsi="宋体" w:cs="宋体"/>
                          </w:rPr>
                          <w:t>产品和服务有关要求</w:t>
                        </w:r>
                        <w:r>
                          <w:rPr>
                            <w:rFonts w:hint="eastAsia" w:ascii="宋体" w:hAnsi="宋体" w:cs="宋体"/>
                            <w:lang w:eastAsia="zh-CN"/>
                          </w:rPr>
                          <w:t>；</w:t>
                        </w: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  <w:t>8.5.3顾客或外部供方的财产；8.5.5交付后的活动；</w:t>
                        </w: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  <w:lang w:val="en-US" w:eastAsia="zh-CN"/>
                          </w:rPr>
                          <w:t>9.1.2</w:t>
                        </w:r>
                        <w:r>
                          <w:rPr>
                            <w:rFonts w:hint="eastAsia" w:ascii="宋体" w:hAnsi="宋体" w:cs="宋体"/>
                          </w:rPr>
                          <w:t>顾客满意</w:t>
                        </w:r>
                      </w:p>
                      <w:p>
                        <w:pPr>
                          <w:rPr>
                            <w:rFonts w:hint="eastAsia" w:ascii="宋体" w:hAnsi="宋体" w:cs="新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  <w:lang w:eastAsia="zh-CN"/>
                          </w:rPr>
                          <w:t>采购部：</w:t>
                        </w:r>
                      </w:p>
                      <w:p>
                        <w:pPr>
                          <w:rPr>
                            <w:rFonts w:hint="eastAsia" w:ascii="宋体" w:hAnsi="宋体" w:cs="宋体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  <w:t>5.3组织的角色、职责和权限；6.2质量目标及其实现的策划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128" w:hRule="atLeast"/>
                    </w:trPr>
                    <w:tc>
                      <w:tcPr>
                        <w:tcW w:w="1128" w:type="dxa"/>
                        <w:vMerge w:val="continue"/>
                        <w:tcBorders>
                          <w:left w:val="single" w:color="auto" w:sz="6" w:space="0"/>
                          <w:right w:val="single" w:color="auto" w:sz="6" w:space="0"/>
                        </w:tcBorders>
                        <w:noWrap w:val="0"/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/>
                          </w:rPr>
                        </w:pPr>
                      </w:p>
                    </w:tc>
                    <w:tc>
                      <w:tcPr>
                        <w:tcW w:w="1467" w:type="dxa"/>
                        <w:tcBorders>
                          <w:top w:val="single" w:color="auto" w:sz="4" w:space="0"/>
                          <w:left w:val="nil"/>
                          <w:bottom w:val="single" w:color="auto" w:sz="4" w:space="0"/>
                          <w:right w:val="single" w:color="auto" w:sz="6" w:space="0"/>
                        </w:tcBorders>
                        <w:noWrap w:val="0"/>
                        <w:vAlign w:val="top"/>
                      </w:tcPr>
                      <w:p>
                        <w:pPr>
                          <w:rPr>
                            <w:rFonts w:hint="eastAsia" w:ascii="宋体" w:hAnsi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  <w:lang w:val="en-US" w:eastAsia="zh-CN"/>
                          </w:rPr>
                          <w:t>12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  <w:t>：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  <w:lang w:val="en-US" w:eastAsia="zh-CN"/>
                          </w:rPr>
                          <w:t>0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  <w:t>0-1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  <w:t>：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  <w:lang w:val="en-US" w:eastAsia="zh-CN"/>
                          </w:rPr>
                          <w:t>0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  <w:t>0</w:t>
                        </w:r>
                      </w:p>
                      <w:p>
                        <w:pP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726" w:type="dxa"/>
                        <w:tcBorders>
                          <w:top w:val="single" w:color="auto" w:sz="4" w:space="0"/>
                          <w:left w:val="single" w:color="auto" w:sz="6" w:space="0"/>
                          <w:right w:val="single" w:color="auto" w:sz="6" w:space="0"/>
                        </w:tcBorders>
                        <w:noWrap w:val="0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新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  <w:lang w:eastAsia="zh-CN"/>
                          </w:rPr>
                          <w:t>午餐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1688" w:hRule="atLeast"/>
                    </w:trPr>
                    <w:tc>
                      <w:tcPr>
                        <w:tcW w:w="1128" w:type="dxa"/>
                        <w:vMerge w:val="continue"/>
                        <w:tcBorders>
                          <w:left w:val="single" w:color="auto" w:sz="6" w:space="0"/>
                          <w:right w:val="single" w:color="auto" w:sz="6" w:space="0"/>
                        </w:tcBorders>
                        <w:noWrap w:val="0"/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/>
                          </w:rPr>
                        </w:pPr>
                      </w:p>
                    </w:tc>
                    <w:tc>
                      <w:tcPr>
                        <w:tcW w:w="1467" w:type="dxa"/>
                        <w:tcBorders>
                          <w:top w:val="single" w:color="auto" w:sz="4" w:space="0"/>
                          <w:left w:val="nil"/>
                          <w:bottom w:val="single" w:color="auto" w:sz="4" w:space="0"/>
                          <w:right w:val="single" w:color="auto" w:sz="6" w:space="0"/>
                        </w:tcBorders>
                        <w:noWrap w:val="0"/>
                        <w:vAlign w:val="top"/>
                      </w:tcPr>
                      <w:p>
                        <w:pPr>
                          <w:rPr>
                            <w:rFonts w:hint="eastAsia" w:ascii="宋体" w:hAnsi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  <w:lang w:val="en-US" w:eastAsia="zh-CN"/>
                          </w:rPr>
                          <w:t>13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  <w:t>：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  <w:lang w:val="en-US" w:eastAsia="zh-CN"/>
                          </w:rPr>
                          <w:t>0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  <w:t>0-1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  <w:lang w:val="en-US" w:eastAsia="zh-CN"/>
                          </w:rPr>
                          <w:t>6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  <w:t>：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  <w:t>0</w:t>
                        </w:r>
                      </w:p>
                      <w:p>
                        <w:pP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7726" w:type="dxa"/>
                        <w:tcBorders>
                          <w:top w:val="single" w:color="auto" w:sz="4" w:space="0"/>
                          <w:left w:val="single" w:color="auto" w:sz="6" w:space="0"/>
                          <w:right w:val="single" w:color="auto" w:sz="6" w:space="0"/>
                        </w:tcBorders>
                        <w:noWrap w:val="0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新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  <w:lang w:eastAsia="zh-CN"/>
                          </w:rPr>
                          <w:t>生产</w:t>
                        </w: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  <w:t>部:</w:t>
                        </w:r>
                      </w:p>
                      <w:p>
                        <w:pPr>
                          <w:rPr>
                            <w:rFonts w:hint="eastAsia" w:ascii="宋体" w:hAnsi="宋体" w:cs="新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  <w:t>5.3组织的角色、职责和权限；6.2质量目标及其实现的策划；</w:t>
                        </w: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  <w:lang w:val="en-US" w:eastAsia="zh-CN"/>
                          </w:rPr>
                          <w:t>7.1.3基础设施（</w:t>
                        </w: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  <w:t>上次审核不符合项的验证</w:t>
                        </w: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  <w:lang w:val="en-US" w:eastAsia="zh-CN"/>
                          </w:rPr>
                          <w:t>）</w:t>
                        </w: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  <w:t>7.1.5</w:t>
                        </w:r>
                        <w:r>
                          <w:rPr>
                            <w:rFonts w:hint="eastAsia" w:ascii="宋体" w:hAnsi="宋体" w:cs="宋体"/>
                            <w:sz w:val="21"/>
                            <w:szCs w:val="21"/>
                          </w:rPr>
                          <w:t>监视和测量资源</w:t>
                        </w: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  <w:t>;8.1</w:t>
                        </w:r>
                        <w:r>
                          <w:rPr>
                            <w:rFonts w:hint="eastAsia" w:ascii="宋体" w:hAnsi="宋体" w:cs="宋体"/>
                            <w:sz w:val="21"/>
                            <w:szCs w:val="21"/>
                          </w:rPr>
                          <w:t>运行策划和控制；</w:t>
                        </w: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  <w:t xml:space="preserve"> 8.3</w:t>
                        </w:r>
                        <w:r>
                          <w:rPr>
                            <w:rFonts w:hint="eastAsia" w:ascii="宋体" w:hAnsi="宋体" w:cs="宋体"/>
                            <w:sz w:val="21"/>
                            <w:szCs w:val="21"/>
                          </w:rPr>
                          <w:t>设计开发控制；</w:t>
                        </w: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  <w:t>8.5.1生产和服务提供的控制；8.5.2标识和可追溯性；8.5.4防护；8.5.6更改控制</w:t>
                        </w:r>
                        <w:r>
                          <w:rPr>
                            <w:rFonts w:hint="eastAsia" w:ascii="宋体" w:hAnsi="宋体" w:cs="宋体"/>
                            <w:sz w:val="21"/>
                            <w:szCs w:val="21"/>
                          </w:rPr>
                          <w:t>；</w:t>
                        </w: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  <w:t xml:space="preserve"> 8.6</w:t>
                        </w:r>
                        <w:r>
                          <w:rPr>
                            <w:rFonts w:hint="eastAsia" w:ascii="宋体" w:hAnsi="宋体" w:cs="宋体"/>
                            <w:sz w:val="21"/>
                            <w:szCs w:val="21"/>
                          </w:rPr>
                          <w:t>产品和服务放行</w:t>
                        </w: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  <w:t xml:space="preserve"> ；8.7</w:t>
                        </w:r>
                        <w:r>
                          <w:rPr>
                            <w:rFonts w:hint="eastAsia" w:ascii="宋体" w:hAnsi="宋体" w:cs="宋体"/>
                            <w:sz w:val="21"/>
                            <w:szCs w:val="21"/>
                          </w:rPr>
                          <w:t>不合格输出的控制；</w:t>
                        </w:r>
                        <w:r>
                          <w:rPr>
                            <w:rFonts w:ascii="宋体" w:hAnsi="宋体" w:cs="新宋体"/>
                            <w:sz w:val="21"/>
                            <w:szCs w:val="21"/>
                          </w:rPr>
                          <w:t>9.1.3分析和评价</w:t>
                        </w: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  <w:lang w:eastAsia="zh-CN"/>
                          </w:rPr>
                          <w:t>；</w:t>
                        </w: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  <w:t>10.2不合格和纠正措施</w:t>
                        </w: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  <w:lang w:eastAsia="zh-CN"/>
                          </w:rPr>
                          <w:t>；</w:t>
                        </w: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  <w:t>10.3持续改进</w:t>
                        </w: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  <w:lang w:eastAsia="zh-CN"/>
                          </w:rPr>
                          <w:t>；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481" w:hRule="atLeast"/>
                    </w:trPr>
                    <w:tc>
                      <w:tcPr>
                        <w:tcW w:w="1128" w:type="dxa"/>
                        <w:vMerge w:val="continue"/>
                        <w:tcBorders>
                          <w:left w:val="single" w:color="auto" w:sz="6" w:space="0"/>
                          <w:bottom w:val="single" w:color="auto" w:sz="4" w:space="0"/>
                          <w:right w:val="single" w:color="auto" w:sz="6" w:space="0"/>
                        </w:tcBorders>
                        <w:noWrap w:val="0"/>
                        <w:vAlign w:val="center"/>
                      </w:tcPr>
                      <w:p>
                        <w:pPr>
                          <w:jc w:val="center"/>
                          <w:rPr>
                            <w:rFonts w:ascii="宋体" w:hAnsi="宋体"/>
                          </w:rPr>
                        </w:pPr>
                      </w:p>
                    </w:tc>
                    <w:tc>
                      <w:tcPr>
                        <w:tcW w:w="1467" w:type="dxa"/>
                        <w:tcBorders>
                          <w:top w:val="single" w:color="auto" w:sz="4" w:space="0"/>
                          <w:left w:val="nil"/>
                          <w:bottom w:val="single" w:color="auto" w:sz="4" w:space="0"/>
                          <w:right w:val="single" w:color="auto" w:sz="6" w:space="0"/>
                        </w:tcBorders>
                        <w:noWrap w:val="0"/>
                        <w:vAlign w:val="top"/>
                      </w:tcPr>
                      <w:p>
                        <w:pP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  <w:lang w:val="en-US" w:eastAsia="zh-CN"/>
                          </w:rPr>
                          <w:t>16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  <w:t>：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  <w:t>0-1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  <w:lang w:val="en-US" w:eastAsia="zh-CN"/>
                          </w:rPr>
                          <w:t>7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  <w:t>：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  <w:lang w:val="en-US" w:eastAsia="zh-CN"/>
                          </w:rPr>
                          <w:t>0</w:t>
                        </w:r>
                        <w:r>
                          <w:rPr>
                            <w:rFonts w:hint="eastAsia" w:ascii="宋体" w:hAnsi="宋体"/>
                            <w:sz w:val="21"/>
                            <w:szCs w:val="21"/>
                          </w:rPr>
                          <w:t>0</w:t>
                        </w:r>
                      </w:p>
                    </w:tc>
                    <w:tc>
                      <w:tcPr>
                        <w:tcW w:w="7726" w:type="dxa"/>
                        <w:tcBorders>
                          <w:top w:val="single" w:color="auto" w:sz="4" w:space="0"/>
                          <w:left w:val="single" w:color="auto" w:sz="6" w:space="0"/>
                          <w:bottom w:val="single" w:color="auto" w:sz="4" w:space="0"/>
                          <w:right w:val="single" w:color="auto" w:sz="6" w:space="0"/>
                        </w:tcBorders>
                        <w:noWrap w:val="0"/>
                        <w:vAlign w:val="center"/>
                      </w:tcPr>
                      <w:p>
                        <w:pPr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cs="新宋体"/>
                            <w:sz w:val="21"/>
                            <w:szCs w:val="21"/>
                          </w:rPr>
                          <w:t>审核组内部沟通,并与受审核方沟通；末次会议</w:t>
                        </w:r>
                      </w:p>
                    </w:tc>
                  </w:tr>
                </w:tbl>
                <w:p>
                  <w:pPr>
                    <w:snapToGrid w:val="0"/>
                    <w:spacing w:line="280" w:lineRule="exact"/>
                    <w:jc w:val="both"/>
                    <w:rPr>
                      <w:rFonts w:hint="eastAsia" w:ascii="宋体" w:hAnsi="宋体"/>
                      <w:b/>
                      <w:bCs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2102BB"/>
    <w:rsid w:val="5C8D08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13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2021-04-29T07:43:15Z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9A5C5A3A372D4AD89DB06AE97360F640</vt:lpwstr>
  </property>
</Properties>
</file>