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受审核部门：综合部     主管领导：</w:t>
            </w:r>
            <w:r>
              <w:rPr>
                <w:rFonts w:hint="eastAsia"/>
              </w:rPr>
              <w:t>陈雪靖</w:t>
            </w:r>
            <w:r>
              <w:rPr>
                <w:rFonts w:hint="eastAsia"/>
                <w:sz w:val="24"/>
                <w:szCs w:val="24"/>
              </w:rPr>
              <w:t xml:space="preserve">    陪同人员：张守臣</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审核员：李雅静      审核时间：202</w:t>
            </w:r>
            <w:r>
              <w:rPr>
                <w:sz w:val="24"/>
                <w:szCs w:val="24"/>
              </w:rPr>
              <w:t>1</w:t>
            </w:r>
            <w:r>
              <w:rPr>
                <w:rFonts w:hint="eastAsia"/>
                <w:sz w:val="24"/>
                <w:szCs w:val="24"/>
              </w:rPr>
              <w:t>.</w:t>
            </w:r>
            <w:r>
              <w:rPr>
                <w:sz w:val="24"/>
                <w:szCs w:val="24"/>
              </w:rPr>
              <w:t>04</w:t>
            </w:r>
            <w:r>
              <w:rPr>
                <w:rFonts w:hint="eastAsia"/>
                <w:sz w:val="24"/>
                <w:szCs w:val="24"/>
              </w:rPr>
              <w:t>.</w:t>
            </w:r>
            <w:r>
              <w:rPr>
                <w:sz w:val="24"/>
                <w:szCs w:val="24"/>
              </w:rPr>
              <w:t>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r>
              <w:rPr>
                <w:rFonts w:hint="eastAsia"/>
              </w:rPr>
              <w:t>审核条款：标准条款：</w:t>
            </w:r>
          </w:p>
          <w:p>
            <w:pPr>
              <w:pStyle w:val="2"/>
            </w:pPr>
            <w:r>
              <w:rPr>
                <w:bCs w:val="0"/>
                <w:spacing w:val="0"/>
              </w:rPr>
              <w:t>Q:5.3/6.1/6.2/6.3/7.1.2/7.5.3/9.1.3/9.2/10.2/10.3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Q5.3</w:t>
            </w:r>
          </w:p>
          <w:p>
            <w:pPr>
              <w:pStyle w:val="2"/>
            </w:pPr>
          </w:p>
        </w:tc>
        <w:tc>
          <w:tcPr>
            <w:tcW w:w="10004" w:type="dxa"/>
            <w:vAlign w:val="center"/>
          </w:tcPr>
          <w:p>
            <w:pPr>
              <w:ind w:firstLine="420" w:firstLineChars="200"/>
              <w:rPr>
                <w:szCs w:val="21"/>
              </w:rPr>
            </w:pPr>
            <w:r>
              <w:rPr>
                <w:rFonts w:hint="eastAsia"/>
                <w:szCs w:val="21"/>
              </w:rPr>
              <w:t>部门负责人：陈雪靖</w:t>
            </w:r>
            <w:r>
              <w:rPr>
                <w:rFonts w:hint="eastAsia"/>
                <w:sz w:val="24"/>
                <w:szCs w:val="24"/>
              </w:rPr>
              <w:t xml:space="preserve"> </w:t>
            </w:r>
          </w:p>
          <w:p>
            <w:pPr>
              <w:ind w:firstLine="420" w:firstLineChars="200"/>
              <w:rPr>
                <w:szCs w:val="21"/>
              </w:rPr>
            </w:pPr>
            <w:r>
              <w:rPr>
                <w:color w:val="000000"/>
              </w:rPr>
              <w:t>a</w:t>
            </w:r>
            <w:r>
              <w:rPr>
                <w:rFonts w:hint="eastAsia"/>
                <w:color w:val="000000"/>
              </w:rPr>
              <w:t>）</w:t>
            </w:r>
            <w:r>
              <w:rPr>
                <w:rFonts w:hint="eastAsia"/>
                <w:szCs w:val="21"/>
              </w:rPr>
              <w:t>负责对管理体系文件和记录的归口管理。负责法律法规的识别和合规性评价工作；</w:t>
            </w:r>
          </w:p>
          <w:p>
            <w:pPr>
              <w:ind w:firstLine="420" w:firstLineChars="200"/>
              <w:rPr>
                <w:szCs w:val="21"/>
              </w:rPr>
            </w:pPr>
            <w:r>
              <w:rPr>
                <w:rFonts w:hint="eastAsia"/>
                <w:szCs w:val="21"/>
              </w:rPr>
              <w:t>b） 负责公司风险识别评价的组织工作，响应贯彻标准倡导的风险意识，做好风险识别及风险管理工作，提高组织质量绩效。</w:t>
            </w:r>
          </w:p>
          <w:p>
            <w:pPr>
              <w:ind w:firstLine="420" w:firstLineChars="200"/>
              <w:rPr>
                <w:szCs w:val="21"/>
              </w:rPr>
            </w:pPr>
            <w:r>
              <w:rPr>
                <w:rFonts w:hint="eastAsia"/>
                <w:szCs w:val="21"/>
              </w:rPr>
              <w:t>c)负责公司内外部沟通的归口管理，保留公司会议记录。保留管理评审记录及相关资料；</w:t>
            </w:r>
          </w:p>
          <w:p>
            <w:pPr>
              <w:ind w:firstLine="420" w:firstLineChars="200"/>
              <w:rPr>
                <w:szCs w:val="21"/>
              </w:rPr>
            </w:pPr>
            <w:r>
              <w:rPr>
                <w:rFonts w:hint="eastAsia"/>
                <w:szCs w:val="21"/>
              </w:rPr>
              <w:t>d)组织人力资源、工作环境的合理配备，确保体系运行所需要的合格人才能够获得；</w:t>
            </w:r>
          </w:p>
          <w:p>
            <w:pPr>
              <w:ind w:firstLine="420" w:firstLineChars="200"/>
              <w:rPr>
                <w:szCs w:val="21"/>
              </w:rPr>
            </w:pPr>
            <w:r>
              <w:rPr>
                <w:rFonts w:hint="eastAsia"/>
                <w:szCs w:val="21"/>
              </w:rPr>
              <w:t>e) 组织公司各部门建立健全岗位职责和各项管理制度并贯彻实施；</w:t>
            </w:r>
          </w:p>
          <w:p>
            <w:pPr>
              <w:ind w:firstLine="420" w:firstLineChars="200"/>
              <w:rPr>
                <w:szCs w:val="21"/>
              </w:rPr>
            </w:pPr>
            <w:r>
              <w:rPr>
                <w:rFonts w:hint="eastAsia"/>
                <w:szCs w:val="21"/>
              </w:rPr>
              <w:t>f) 编制公司年度培训计划，建立和完善各类人员的专业、技能培训档案和相关资料；</w:t>
            </w:r>
          </w:p>
          <w:p>
            <w:pPr>
              <w:ind w:firstLine="420" w:firstLineChars="200"/>
              <w:rPr>
                <w:szCs w:val="21"/>
              </w:rPr>
            </w:pPr>
            <w:r>
              <w:rPr>
                <w:rFonts w:hint="eastAsia"/>
                <w:szCs w:val="21"/>
              </w:rPr>
              <w:t>g) 是公司内部审核的归口管理部门，负责内部审核的策划、实施和记录保持通过文件的发放、培训学习使各岗位职责、权限在公司内得到沟通和理解。</w:t>
            </w:r>
          </w:p>
          <w:p>
            <w:pPr>
              <w:ind w:firstLine="420" w:firstLineChars="200"/>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ascii="宋体" w:hAnsi="宋体" w:cs="宋体"/>
                <w:szCs w:val="21"/>
              </w:rPr>
              <w:t>应对风险和机遇的措施；</w:t>
            </w:r>
          </w:p>
        </w:tc>
        <w:tc>
          <w:tcPr>
            <w:tcW w:w="960" w:type="dxa"/>
            <w:vAlign w:val="center"/>
          </w:tcPr>
          <w:p>
            <w:pPr>
              <w:rPr>
                <w:color w:val="000000"/>
              </w:rPr>
            </w:pPr>
            <w:r>
              <w:rPr>
                <w:rFonts w:hint="eastAsia"/>
                <w:color w:val="000000"/>
              </w:rPr>
              <w:t>Q6.1</w:t>
            </w:r>
          </w:p>
          <w:p>
            <w:pPr>
              <w:rPr>
                <w:color w:val="000000"/>
              </w:rPr>
            </w:pPr>
          </w:p>
          <w:p>
            <w:pPr>
              <w:rPr>
                <w:szCs w:val="21"/>
              </w:rPr>
            </w:pPr>
          </w:p>
          <w:p/>
        </w:tc>
        <w:tc>
          <w:tcPr>
            <w:tcW w:w="10004" w:type="dxa"/>
            <w:vAlign w:val="center"/>
          </w:tcPr>
          <w:p>
            <w:pPr>
              <w:ind w:firstLine="420" w:firstLineChars="200"/>
              <w:rPr>
                <w:szCs w:val="21"/>
              </w:rPr>
            </w:pPr>
            <w:r>
              <w:rPr>
                <w:rFonts w:hint="eastAsia"/>
                <w:szCs w:val="21"/>
              </w:rPr>
              <w:t>公司策划并批准实施《风险和机遇分析表》，内容包括风险类型、风险因素、应对机遇及措施、现行控制方法、涉及的场所及部门等；</w:t>
            </w:r>
          </w:p>
          <w:p>
            <w:pPr>
              <w:ind w:firstLine="420" w:firstLineChars="200"/>
              <w:rPr>
                <w:szCs w:val="21"/>
              </w:rPr>
            </w:pPr>
            <w:r>
              <w:rPr>
                <w:rFonts w:hint="eastAsia"/>
                <w:szCs w:val="21"/>
              </w:rPr>
              <w:t>查见《风险和机遇评估分析表》：</w:t>
            </w:r>
          </w:p>
          <w:p>
            <w:pPr>
              <w:ind w:firstLine="420" w:firstLineChars="200"/>
              <w:rPr>
                <w:szCs w:val="21"/>
              </w:rPr>
            </w:pPr>
            <w:r>
              <w:rPr>
                <w:rFonts w:hint="eastAsia"/>
                <w:szCs w:val="21"/>
              </w:rPr>
              <w:t>类型：外部因素；</w:t>
            </w:r>
          </w:p>
          <w:p>
            <w:pPr>
              <w:ind w:firstLine="420" w:firstLineChars="200"/>
              <w:rPr>
                <w:szCs w:val="21"/>
              </w:rPr>
            </w:pPr>
            <w:r>
              <w:rPr>
                <w:rFonts w:hint="eastAsia"/>
                <w:szCs w:val="21"/>
              </w:rPr>
              <w:t xml:space="preserve">   类别：竞争风险公司目前在市场占有率和领先趋势比较明显，影响公司的领先优势。机遇：竞争加剧，发展压力大，但也会带来新的发展机遇。</w:t>
            </w:r>
          </w:p>
          <w:p>
            <w:pPr>
              <w:ind w:firstLine="420" w:firstLineChars="200"/>
              <w:rPr>
                <w:szCs w:val="21"/>
              </w:rPr>
            </w:pPr>
            <w:r>
              <w:rPr>
                <w:rFonts w:hint="eastAsia"/>
                <w:szCs w:val="21"/>
              </w:rPr>
              <w:t>应对机遇及措施：及时关注市场的情况，收集信息及时调整，保持公司产品的竞争力。</w:t>
            </w:r>
          </w:p>
          <w:p>
            <w:pPr>
              <w:ind w:firstLine="420" w:firstLineChars="200"/>
              <w:rPr>
                <w:szCs w:val="21"/>
              </w:rPr>
            </w:pPr>
            <w:r>
              <w:rPr>
                <w:rFonts w:hint="eastAsia"/>
                <w:szCs w:val="21"/>
              </w:rPr>
              <w:t>针对外部因素，还分析了市场、原材料、文化、社会经济、法律法规的变化等。</w:t>
            </w:r>
          </w:p>
          <w:p>
            <w:pPr>
              <w:ind w:firstLine="420" w:firstLineChars="200"/>
              <w:rPr>
                <w:szCs w:val="21"/>
              </w:rPr>
            </w:pPr>
            <w:r>
              <w:rPr>
                <w:rFonts w:hint="eastAsia"/>
                <w:szCs w:val="21"/>
              </w:rPr>
              <w:t>类型：内部因素；</w:t>
            </w:r>
          </w:p>
          <w:p>
            <w:pPr>
              <w:ind w:firstLine="420" w:firstLineChars="200"/>
              <w:rPr>
                <w:szCs w:val="21"/>
              </w:rPr>
            </w:pPr>
            <w:r>
              <w:rPr>
                <w:rFonts w:hint="eastAsia"/>
                <w:szCs w:val="21"/>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ind w:firstLine="420" w:firstLineChars="200"/>
              <w:rPr>
                <w:szCs w:val="21"/>
              </w:rPr>
            </w:pPr>
            <w:r>
              <w:rPr>
                <w:rFonts w:hint="eastAsia"/>
                <w:szCs w:val="21"/>
              </w:rPr>
              <w:t>应对机遇及措施：各部门应及时关注员工的心态变化，注意工作方式，创造良好的工作环境，提高员工的归属感。</w:t>
            </w:r>
          </w:p>
          <w:p>
            <w:pPr>
              <w:ind w:firstLine="420" w:firstLineChars="200"/>
              <w:rPr>
                <w:szCs w:val="21"/>
              </w:rPr>
            </w:pPr>
            <w:r>
              <w:rPr>
                <w:rFonts w:hint="eastAsia"/>
                <w:szCs w:val="21"/>
              </w:rPr>
              <w:t>针对内部因素，还分析了财务状况、人力资源、基础设施等。</w:t>
            </w:r>
          </w:p>
          <w:p>
            <w:r>
              <w:rPr>
                <w:rFonts w:hint="eastAsia" w:ascii="宋体" w:hAnsi="宋体" w:cs="宋体"/>
                <w:szCs w:val="21"/>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目标</w:t>
            </w:r>
          </w:p>
          <w:p/>
        </w:tc>
        <w:tc>
          <w:tcPr>
            <w:tcW w:w="960" w:type="dxa"/>
            <w:vAlign w:val="center"/>
          </w:tcPr>
          <w:p>
            <w:r>
              <w:rPr>
                <w:rFonts w:hint="eastAsia"/>
                <w:szCs w:val="21"/>
              </w:rPr>
              <w:t>Q6.2</w:t>
            </w:r>
          </w:p>
        </w:tc>
        <w:tc>
          <w:tcPr>
            <w:tcW w:w="10004" w:type="dxa"/>
            <w:vAlign w:val="center"/>
          </w:tcPr>
          <w:p>
            <w:pPr>
              <w:ind w:firstLine="420" w:firstLineChars="200"/>
              <w:rPr>
                <w:rFonts w:ascii="宋体" w:hAnsi="宋体" w:cs="宋体"/>
                <w:szCs w:val="21"/>
              </w:rPr>
            </w:pPr>
            <w:r>
              <w:rPr>
                <w:rFonts w:hint="eastAsia" w:ascii="宋体" w:hAnsi="宋体" w:cs="宋体"/>
                <w:szCs w:val="21"/>
              </w:rPr>
              <w:t xml:space="preserve">部门目标：                      </w:t>
            </w:r>
            <w:r>
              <w:rPr>
                <w:rFonts w:ascii="宋体" w:hAnsi="宋体" w:cs="宋体"/>
                <w:szCs w:val="21"/>
              </w:rPr>
              <w:t xml:space="preserve">     </w:t>
            </w:r>
          </w:p>
          <w:p>
            <w:r>
              <w:rPr>
                <w:rFonts w:hint="eastAsia" w:ascii="宋体" w:hAnsi="宋体" w:cs="宋体"/>
                <w:szCs w:val="21"/>
              </w:rPr>
              <w:t xml:space="preserve"> </w:t>
            </w:r>
            <w:r>
              <w:rPr>
                <w:rFonts w:hint="eastAsia" w:asciiTheme="minorEastAsia" w:hAnsiTheme="minorEastAsia" w:eastAsiaTheme="minorEastAsia" w:cstheme="minorEastAsia"/>
                <w:sz w:val="24"/>
                <w:szCs w:val="24"/>
              </w:rPr>
              <w:t>培训合格率≥90%</w:t>
            </w:r>
            <w:r>
              <w:rPr>
                <w:rFonts w:hint="eastAsia" w:ascii="宋体" w:hAnsi="宋体" w:cs="宋体"/>
                <w:szCs w:val="21"/>
              </w:rPr>
              <w:t>；</w:t>
            </w:r>
            <w:r>
              <w:rPr>
                <w:rFonts w:hint="eastAsia" w:ascii="宋体" w:hAnsi="宋体" w:cs="宋体"/>
                <w:szCs w:val="21"/>
              </w:rPr>
              <w:tab/>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w:t>
            </w:r>
          </w:p>
          <w:p>
            <w:pPr>
              <w:pStyle w:val="2"/>
              <w:rPr>
                <w:rFonts w:asciiTheme="minorEastAsia" w:hAnsiTheme="minorEastAsia" w:eastAsiaTheme="minorEastAsia" w:cstheme="minorEastAsia"/>
                <w:szCs w:val="21"/>
              </w:rPr>
            </w:pPr>
            <w:r>
              <w:rPr>
                <w:rFonts w:hint="eastAsia"/>
                <w:szCs w:val="21"/>
              </w:rPr>
              <w:t>公司每季度进行一次考核，</w:t>
            </w:r>
            <w:r>
              <w:rPr>
                <w:rFonts w:hint="eastAsia" w:asciiTheme="minorEastAsia" w:hAnsiTheme="minorEastAsia" w:eastAsiaTheme="minorEastAsia" w:cstheme="minorEastAsia"/>
                <w:szCs w:val="21"/>
              </w:rPr>
              <w:t>上述目标202</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年第三、四季度进行考核，考核结果：全部达标，</w:t>
            </w:r>
          </w:p>
          <w:p>
            <w:pPr>
              <w:pStyle w:val="2"/>
            </w:pPr>
            <w:r>
              <w:rPr>
                <w:rFonts w:hint="eastAsia" w:asciiTheme="minorEastAsia" w:hAnsiTheme="minorEastAsia" w:eastAsiaTheme="minorEastAsia" w:cstheme="minorEastAsia"/>
                <w:szCs w:val="21"/>
              </w:rPr>
              <w:t>考核人：陈雪靖</w:t>
            </w:r>
            <w:r>
              <w:rPr>
                <w:rFonts w:hint="eastAsia"/>
                <w:bCs w:val="0"/>
                <w:spacing w:val="0"/>
                <w:szCs w:val="22"/>
              </w:rPr>
              <w:t xml:space="preserve">    考核时间： 202</w:t>
            </w:r>
            <w:r>
              <w:rPr>
                <w:bCs w:val="0"/>
                <w:spacing w:val="0"/>
                <w:szCs w:val="22"/>
              </w:rPr>
              <w:t>1</w:t>
            </w:r>
            <w:r>
              <w:rPr>
                <w:rFonts w:hint="eastAsia"/>
                <w:bCs w:val="0"/>
                <w:spacing w:val="0"/>
                <w:szCs w:val="22"/>
              </w:rPr>
              <w:t>年1月30日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rPr>
            </w:pPr>
            <w:r>
              <w:rPr>
                <w:rFonts w:hint="eastAsia"/>
                <w:color w:val="000000"/>
              </w:rPr>
              <w:t>变更的策划</w:t>
            </w:r>
          </w:p>
          <w:p/>
        </w:tc>
        <w:tc>
          <w:tcPr>
            <w:tcW w:w="960" w:type="dxa"/>
            <w:vAlign w:val="center"/>
          </w:tcPr>
          <w:p>
            <w:pPr>
              <w:rPr>
                <w:color w:val="000000"/>
              </w:rPr>
            </w:pPr>
          </w:p>
          <w:p>
            <w:pPr>
              <w:rPr>
                <w:color w:val="000000"/>
              </w:rPr>
            </w:pPr>
            <w:r>
              <w:rPr>
                <w:rFonts w:hint="eastAsia"/>
                <w:color w:val="000000"/>
              </w:rPr>
              <w:t>Q6.3</w:t>
            </w:r>
          </w:p>
          <w:p/>
        </w:tc>
        <w:tc>
          <w:tcPr>
            <w:tcW w:w="10004" w:type="dxa"/>
            <w:vAlign w:val="center"/>
          </w:tcPr>
          <w:p>
            <w:pPr>
              <w:rPr>
                <w:color w:val="000000"/>
              </w:rPr>
            </w:pPr>
            <w:r>
              <w:rPr>
                <w:rFonts w:hint="eastAsia"/>
                <w:color w:val="000000"/>
              </w:rPr>
              <w:t>当公司确定需要对质量管理体系进行变更时，此种变更应经策划并系统的实施 。</w:t>
            </w:r>
          </w:p>
          <w:p>
            <w:pPr>
              <w:rPr>
                <w:color w:val="000000"/>
              </w:rPr>
            </w:pPr>
            <w:r>
              <w:rPr>
                <w:rFonts w:hint="eastAsia"/>
                <w:color w:val="000000"/>
              </w:rPr>
              <w:t>经与本部门负责人交谈了，其知道体系变更应考虑：</w:t>
            </w:r>
          </w:p>
          <w:p>
            <w:pPr>
              <w:rPr>
                <w:color w:val="000000"/>
              </w:rPr>
            </w:pPr>
            <w:r>
              <w:rPr>
                <w:rFonts w:hint="eastAsia"/>
                <w:color w:val="000000"/>
              </w:rPr>
              <w:t>a) 变更目的及其潜在后果；</w:t>
            </w:r>
          </w:p>
          <w:p>
            <w:pPr>
              <w:rPr>
                <w:color w:val="000000"/>
              </w:rPr>
            </w:pPr>
            <w:r>
              <w:rPr>
                <w:rFonts w:hint="eastAsia"/>
                <w:color w:val="000000"/>
              </w:rPr>
              <w:t>b) 质量管理体系的完整性；</w:t>
            </w:r>
          </w:p>
          <w:p>
            <w:pPr>
              <w:rPr>
                <w:color w:val="000000"/>
              </w:rPr>
            </w:pPr>
            <w:r>
              <w:rPr>
                <w:rFonts w:hint="eastAsia"/>
                <w:color w:val="000000"/>
              </w:rPr>
              <w:t>c) 资源的可获得性；</w:t>
            </w:r>
          </w:p>
          <w:p>
            <w:pPr>
              <w:rPr>
                <w:color w:val="000000"/>
              </w:rPr>
            </w:pPr>
            <w:r>
              <w:rPr>
                <w:rFonts w:hint="eastAsia"/>
                <w:color w:val="000000"/>
              </w:rPr>
              <w:t>d) 责任和权限的分配与再分配。</w:t>
            </w:r>
          </w:p>
          <w:p>
            <w:pPr>
              <w:rPr>
                <w:color w:val="000000"/>
              </w:rPr>
            </w:pPr>
            <w:r>
              <w:rPr>
                <w:rFonts w:hint="eastAsia"/>
                <w:color w:val="000000"/>
              </w:rPr>
              <w:t>经询问，自体系建立至今无变更情况发生</w:t>
            </w:r>
          </w:p>
          <w:p>
            <w:pPr>
              <w:ind w:firstLine="420" w:firstLineChars="200"/>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人员</w:t>
            </w:r>
          </w:p>
        </w:tc>
        <w:tc>
          <w:tcPr>
            <w:tcW w:w="960" w:type="dxa"/>
            <w:vAlign w:val="center"/>
          </w:tcPr>
          <w:p>
            <w:pPr>
              <w:rPr>
                <w:color w:val="000000"/>
              </w:rPr>
            </w:pPr>
            <w:r>
              <w:rPr>
                <w:rFonts w:hint="eastAsia"/>
                <w:color w:val="000000"/>
              </w:rPr>
              <w:t>Q7.1.2</w:t>
            </w:r>
          </w:p>
          <w:p>
            <w:pPr>
              <w:pStyle w:val="2"/>
            </w:pPr>
          </w:p>
        </w:tc>
        <w:tc>
          <w:tcPr>
            <w:tcW w:w="10004" w:type="dxa"/>
            <w:vAlign w:val="center"/>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公司从岗位设置、任职资格等方面确定了适宜的人选。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策划了各岗位的人员任职要求，编制有《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pStyle w:val="2"/>
              <w:rPr>
                <w:rFonts w:ascii="宋体" w:hAnsi="宋体" w:cs="宋体"/>
                <w:szCs w:val="21"/>
              </w:rPr>
            </w:pPr>
            <w:r>
              <w:rPr>
                <w:rFonts w:hint="eastAsia" w:ascii="宋体" w:hAnsi="宋体" w:cs="宋体"/>
                <w:szCs w:val="21"/>
              </w:rPr>
              <w:t>提供有人员焊工证：</w:t>
            </w:r>
          </w:p>
          <w:p>
            <w:pPr>
              <w:pStyle w:val="2"/>
              <w:ind w:firstLine="420" w:firstLineChars="200"/>
              <w:rPr>
                <w:rFonts w:hint="eastAsia" w:ascii="宋体" w:hAnsi="宋体" w:cs="宋体"/>
                <w:bCs w:val="0"/>
                <w:spacing w:val="0"/>
                <w:szCs w:val="21"/>
              </w:rPr>
            </w:pPr>
          </w:p>
          <w:p>
            <w:pPr>
              <w:pStyle w:val="2"/>
              <w:ind w:firstLine="460" w:firstLineChars="200"/>
              <w:rPr>
                <w:rFonts w:hint="eastAsia" w:ascii="宋体" w:hAnsi="宋体" w:cs="宋体"/>
                <w:bCs w:val="0"/>
                <w:spacing w:val="0"/>
                <w:szCs w:val="21"/>
              </w:rPr>
            </w:pPr>
            <w:r>
              <w:drawing>
                <wp:inline distT="0" distB="0" distL="114300" distR="114300">
                  <wp:extent cx="3507740" cy="1754505"/>
                  <wp:effectExtent l="0" t="0" r="10160"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3507740" cy="1754505"/>
                          </a:xfrm>
                          <a:prstGeom prst="rect">
                            <a:avLst/>
                          </a:prstGeom>
                          <a:noFill/>
                          <a:ln>
                            <a:noFill/>
                          </a:ln>
                        </pic:spPr>
                      </pic:pic>
                    </a:graphicData>
                  </a:graphic>
                </wp:inline>
              </w:drawing>
            </w:r>
          </w:p>
          <w:p>
            <w:pPr>
              <w:pStyle w:val="2"/>
              <w:ind w:firstLine="420" w:firstLineChars="200"/>
              <w:rPr>
                <w:rFonts w:hint="eastAsia" w:ascii="宋体" w:hAnsi="宋体" w:cs="宋体"/>
                <w:bCs w:val="0"/>
                <w:spacing w:val="0"/>
                <w:szCs w:val="21"/>
              </w:rPr>
            </w:pPr>
          </w:p>
          <w:p>
            <w:pPr>
              <w:pStyle w:val="2"/>
            </w:pPr>
            <w:bookmarkStart w:id="0" w:name="_GoBack"/>
            <w:bookmarkEnd w:id="0"/>
            <w:r>
              <w:rPr>
                <w:rFonts w:hint="eastAsia" w:ascii="宋体" w:hAnsi="宋体" w:cs="宋体"/>
                <w:bCs w:val="0"/>
                <w:spacing w:val="0"/>
                <w:szCs w:val="21"/>
              </w:rPr>
              <w:t xml:space="preserve"> </w:t>
            </w:r>
            <w:r>
              <w:rPr>
                <w:rFonts w:hint="eastAsia" w:ascii="宋体" w:hAnsi="宋体" w:cs="宋体"/>
                <w:bCs w:val="0"/>
                <w:spacing w:val="0"/>
                <w:szCs w:val="21"/>
                <w:lang w:val="en-US" w:eastAsia="zh-CN"/>
              </w:rPr>
              <w:t>现场</w:t>
            </w:r>
            <w:r>
              <w:rPr>
                <w:rFonts w:hint="eastAsia" w:ascii="宋体" w:hAnsi="宋体" w:cs="宋体"/>
                <w:bCs w:val="0"/>
                <w:spacing w:val="0"/>
                <w:szCs w:val="21"/>
              </w:rPr>
              <w:t>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rPr>
            </w:pPr>
            <w:r>
              <w:rPr>
                <w:rFonts w:hint="eastAsia"/>
                <w:color w:val="000000"/>
              </w:rPr>
              <w:t>形成文件信息的控制</w:t>
            </w:r>
          </w:p>
          <w:p/>
        </w:tc>
        <w:tc>
          <w:tcPr>
            <w:tcW w:w="960" w:type="dxa"/>
            <w:vAlign w:val="center"/>
          </w:tcPr>
          <w:p>
            <w:pPr>
              <w:rPr>
                <w:color w:val="000000"/>
              </w:rPr>
            </w:pPr>
            <w:r>
              <w:rPr>
                <w:rFonts w:hint="eastAsia"/>
                <w:color w:val="000000"/>
              </w:rPr>
              <w:t>Q7.5.3</w:t>
            </w:r>
          </w:p>
          <w:p/>
        </w:tc>
        <w:tc>
          <w:tcPr>
            <w:tcW w:w="10004" w:type="dxa"/>
            <w:vAlign w:val="center"/>
          </w:tcPr>
          <w:p>
            <w:pPr>
              <w:rPr>
                <w:color w:val="000000"/>
              </w:rPr>
            </w:pPr>
            <w:r>
              <w:rPr>
                <w:rFonts w:hint="eastAsia"/>
                <w:color w:val="000000"/>
              </w:rPr>
              <w:t>提供了“文件发放记录表”包括：管理手册（含程序文件）、目标指标及管理方案等，发放到各部门及人员。</w:t>
            </w:r>
          </w:p>
          <w:p>
            <w:pPr>
              <w:rPr>
                <w:color w:val="000000"/>
              </w:rPr>
            </w:pPr>
            <w:r>
              <w:rPr>
                <w:rFonts w:hint="eastAsia"/>
                <w:color w:val="000000"/>
              </w:rPr>
              <w:t>体系运行过程中未发生文件评审和修订情况，未出现文件作废处理。</w:t>
            </w:r>
          </w:p>
          <w:p>
            <w:pPr>
              <w:rPr>
                <w:color w:val="000000"/>
              </w:rPr>
            </w:pPr>
            <w:r>
              <w:rPr>
                <w:rFonts w:hint="eastAsia"/>
                <w:color w:val="000000"/>
              </w:rPr>
              <w:t>提供了“外来文件清单”，登记包括管理体系标准、法律法规等外来文件。</w:t>
            </w:r>
          </w:p>
          <w:p>
            <w:pPr>
              <w:rPr>
                <w:color w:val="000000"/>
              </w:rPr>
            </w:pPr>
            <w:r>
              <w:rPr>
                <w:rFonts w:hint="eastAsia"/>
                <w:color w:val="000000"/>
              </w:rPr>
              <w:t>文件、记录规定了保存年限</w:t>
            </w:r>
          </w:p>
          <w:p>
            <w:pPr>
              <w:rPr>
                <w:color w:val="000000"/>
              </w:rPr>
            </w:pPr>
            <w:r>
              <w:rPr>
                <w:rFonts w:hint="eastAsia" w:ascii="宋体" w:hAnsi="宋体" w:cs="宋体"/>
                <w:color w:val="000000"/>
              </w:rPr>
              <w:t>编</w:t>
            </w:r>
            <w:r>
              <w:rPr>
                <w:rFonts w:hint="eastAsia"/>
                <w:color w:val="000000"/>
              </w:rPr>
              <w:t>制《记录控制程序</w:t>
            </w:r>
            <w:r>
              <w:rPr>
                <w:color w:val="000000"/>
              </w:rPr>
              <w:t>&gt;&gt;</w:t>
            </w:r>
            <w:r>
              <w:rPr>
                <w:rFonts w:hint="eastAsia"/>
                <w:color w:val="000000"/>
              </w:rPr>
              <w:t>对体系记录的标识、储存、保留等做了相关规定。</w:t>
            </w:r>
          </w:p>
          <w:p>
            <w:pPr>
              <w:spacing w:line="360" w:lineRule="exact"/>
              <w:rPr>
                <w:color w:val="000000"/>
              </w:rPr>
            </w:pPr>
            <w:r>
              <w:rPr>
                <w:rFonts w:hint="eastAsia"/>
                <w:color w:val="000000"/>
              </w:rPr>
              <w:t>阅见《记录清单》,包含了标准要求的记录，日如外来文件、受控文件、环境日常检查记录表、人员培训记录等，基本满足公司体系运行所需记录要求。</w:t>
            </w:r>
          </w:p>
          <w:p>
            <w:pPr>
              <w:spacing w:line="360" w:lineRule="exact"/>
              <w:rPr>
                <w:color w:val="000000"/>
              </w:rPr>
            </w:pPr>
            <w:r>
              <w:rPr>
                <w:rFonts w:hint="eastAsia"/>
                <w:color w:val="000000"/>
              </w:rPr>
              <w:t>保存期一般为</w:t>
            </w:r>
            <w:r>
              <w:rPr>
                <w:color w:val="000000"/>
              </w:rPr>
              <w:t>3</w:t>
            </w:r>
            <w:r>
              <w:rPr>
                <w:rFonts w:hint="eastAsia"/>
                <w:color w:val="000000"/>
              </w:rPr>
              <w:t>年。</w:t>
            </w:r>
          </w:p>
          <w:p>
            <w:pPr>
              <w:rPr>
                <w:color w:val="000000"/>
              </w:rPr>
            </w:pPr>
            <w:r>
              <w:rPr>
                <w:rFonts w:hint="eastAsia"/>
                <w:color w:val="000000"/>
              </w:rPr>
              <w:t>抽查《受控文件清单》</w:t>
            </w:r>
            <w:r>
              <w:rPr>
                <w:color w:val="000000"/>
              </w:rPr>
              <w:t>JL-</w:t>
            </w:r>
            <w:r>
              <w:rPr>
                <w:rFonts w:hint="eastAsia"/>
                <w:color w:val="000000"/>
              </w:rPr>
              <w:t>001</w:t>
            </w:r>
            <w:r>
              <w:rPr>
                <w:color w:val="000000"/>
              </w:rPr>
              <w:tab/>
            </w:r>
            <w:r>
              <w:rPr>
                <w:rFonts w:hint="eastAsia"/>
                <w:color w:val="000000"/>
              </w:rPr>
              <w:t>保存期</w:t>
            </w:r>
            <w:r>
              <w:rPr>
                <w:color w:val="000000"/>
              </w:rPr>
              <w:t>/3</w:t>
            </w:r>
            <w:r>
              <w:rPr>
                <w:rFonts w:hint="eastAsia"/>
                <w:color w:val="000000"/>
              </w:rPr>
              <w:t>年</w:t>
            </w:r>
          </w:p>
          <w:p>
            <w:pPr>
              <w:rPr>
                <w:color w:val="000000"/>
              </w:rPr>
            </w:pPr>
            <w:r>
              <w:rPr>
                <w:rFonts w:hint="eastAsia"/>
                <w:color w:val="000000"/>
              </w:rPr>
              <w:t>《管评会议记录及签到表》</w:t>
            </w:r>
            <w:r>
              <w:rPr>
                <w:color w:val="000000"/>
              </w:rPr>
              <w:t>JL-</w:t>
            </w:r>
            <w:r>
              <w:rPr>
                <w:rFonts w:hint="eastAsia"/>
                <w:color w:val="000000"/>
              </w:rPr>
              <w:t>009保存期</w:t>
            </w:r>
            <w:r>
              <w:rPr>
                <w:color w:val="000000"/>
              </w:rPr>
              <w:t>/ 3</w:t>
            </w:r>
            <w:r>
              <w:rPr>
                <w:rFonts w:hint="eastAsia"/>
                <w:color w:val="000000"/>
              </w:rPr>
              <w:t>年</w:t>
            </w:r>
          </w:p>
          <w:p>
            <w:pPr>
              <w:rPr>
                <w:color w:val="000000"/>
              </w:rPr>
            </w:pPr>
            <w:r>
              <w:rPr>
                <w:rFonts w:hint="eastAsia"/>
                <w:color w:val="000000"/>
              </w:rPr>
              <w:t>《年度设备保养检查计划》</w:t>
            </w:r>
            <w:r>
              <w:rPr>
                <w:color w:val="000000"/>
              </w:rPr>
              <w:t xml:space="preserve"> JL-</w:t>
            </w:r>
            <w:r>
              <w:rPr>
                <w:rFonts w:hint="eastAsia"/>
                <w:color w:val="000000"/>
              </w:rPr>
              <w:t>018保存期</w:t>
            </w:r>
            <w:r>
              <w:rPr>
                <w:color w:val="000000"/>
              </w:rPr>
              <w:t>/3</w:t>
            </w:r>
            <w:r>
              <w:rPr>
                <w:rFonts w:hint="eastAsia"/>
                <w:color w:val="000000"/>
              </w:rPr>
              <w:t>年</w:t>
            </w:r>
          </w:p>
          <w:p>
            <w:pPr>
              <w:tabs>
                <w:tab w:val="left" w:pos="870"/>
              </w:tabs>
              <w:spacing w:line="360" w:lineRule="exact"/>
              <w:rPr>
                <w:color w:val="000000"/>
              </w:rPr>
            </w:pPr>
            <w:r>
              <w:rPr>
                <w:rFonts w:hint="eastAsia"/>
                <w:color w:val="000000"/>
              </w:rPr>
              <w:t>符合记录标识及保存期规定要求。</w:t>
            </w:r>
          </w:p>
          <w:p>
            <w:pPr>
              <w:tabs>
                <w:tab w:val="left" w:pos="600"/>
              </w:tabs>
              <w:spacing w:line="360" w:lineRule="exact"/>
              <w:rPr>
                <w:color w:val="000000"/>
              </w:rPr>
            </w:pPr>
            <w:r>
              <w:rPr>
                <w:rFonts w:hint="eastAsia"/>
                <w:color w:val="000000"/>
              </w:rPr>
              <w:t>由专人管理，在专用文件柜内储存，按不同种类，记录的时间存放，便于检索。</w:t>
            </w:r>
          </w:p>
          <w:p>
            <w:pPr>
              <w:rPr>
                <w:color w:val="000000"/>
              </w:rPr>
            </w:pPr>
            <w:r>
              <w:rPr>
                <w:rFonts w:hint="eastAsia"/>
                <w:color w:val="000000"/>
              </w:rPr>
              <w:t>现场查看文件和记录保存情况。记录为电子打印件，内容清楚、易于识别检索，无涂改，综合部负责收集保存，有文件柜，保存条件基本满足要求，目前没有作废情况。</w:t>
            </w:r>
          </w:p>
          <w:p>
            <w:pPr>
              <w:pStyle w:val="2"/>
              <w:ind w:firstLine="460" w:firstLineChars="200"/>
            </w:pPr>
            <w:r>
              <w:rPr>
                <w:rFonts w:hint="eastAsia"/>
              </w:rPr>
              <w:t>经询问，公司体系运行平稳，人员稳定，文件编号清晰有效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Q9.2</w:t>
            </w:r>
          </w:p>
          <w:p/>
        </w:tc>
        <w:tc>
          <w:tcPr>
            <w:tcW w:w="1000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6.提供了《202</w:t>
            </w:r>
            <w:r>
              <w:rPr>
                <w:rFonts w:ascii="宋体" w:hAnsi="宋体" w:cs="宋体"/>
                <w:szCs w:val="21"/>
              </w:rPr>
              <w:t>1</w:t>
            </w:r>
            <w:r>
              <w:rPr>
                <w:rFonts w:hint="eastAsia" w:ascii="宋体" w:hAnsi="宋体" w:cs="宋体"/>
                <w:szCs w:val="21"/>
              </w:rPr>
              <w:t>年内部审核实施计划》，计划内容有：目的、范围、审核准则、审核时间</w:t>
            </w:r>
            <w:r>
              <w:rPr>
                <w:rFonts w:hint="eastAsia"/>
              </w:rPr>
              <w:t>3月6日至8日</w:t>
            </w:r>
            <w:r>
              <w:rPr>
                <w:rFonts w:hint="eastAsia" w:ascii="宋体" w:hAnsi="宋体" w:cs="宋体"/>
                <w:szCs w:val="21"/>
              </w:rPr>
              <w:t xml:space="preserve">编制：综合部 </w:t>
            </w:r>
            <w:r>
              <w:rPr>
                <w:rFonts w:ascii="宋体" w:hAnsi="宋体" w:cs="宋体"/>
                <w:szCs w:val="21"/>
              </w:rPr>
              <w:t xml:space="preserve"> </w:t>
            </w:r>
            <w:r>
              <w:rPr>
                <w:rFonts w:hint="eastAsia" w:ascii="宋体" w:hAnsi="宋体" w:cs="宋体"/>
                <w:szCs w:val="21"/>
              </w:rPr>
              <w:t>批准：</w:t>
            </w:r>
            <w:r>
              <w:rPr>
                <w:rFonts w:hint="eastAsia"/>
              </w:rPr>
              <w:t>陈永辉</w:t>
            </w:r>
          </w:p>
          <w:p>
            <w:pPr>
              <w:rPr>
                <w:rFonts w:ascii="宋体" w:hAnsi="宋体" w:cs="宋体"/>
                <w:szCs w:val="21"/>
              </w:rPr>
            </w:pPr>
            <w:r>
              <w:rPr>
                <w:rFonts w:hint="eastAsia" w:ascii="宋体" w:hAnsi="宋体" w:cs="宋体"/>
                <w:szCs w:val="21"/>
              </w:rPr>
              <w:t>查阅202</w:t>
            </w:r>
            <w:r>
              <w:rPr>
                <w:rFonts w:ascii="宋体" w:hAnsi="宋体" w:cs="宋体"/>
                <w:szCs w:val="21"/>
              </w:rPr>
              <w:t>1</w:t>
            </w:r>
            <w:r>
              <w:rPr>
                <w:rFonts w:hint="eastAsia" w:ascii="宋体" w:hAnsi="宋体" w:cs="宋体"/>
                <w:szCs w:val="21"/>
              </w:rPr>
              <w:t>年度内部审核有关记录</w:t>
            </w:r>
          </w:p>
          <w:p>
            <w:pPr>
              <w:numPr>
                <w:ilvl w:val="0"/>
                <w:numId w:val="1"/>
              </w:numPr>
              <w:rPr>
                <w:rFonts w:ascii="宋体" w:hAnsi="宋体" w:cs="宋体"/>
                <w:szCs w:val="21"/>
              </w:rPr>
            </w:pPr>
            <w:r>
              <w:rPr>
                <w:rFonts w:hint="eastAsia" w:ascii="宋体" w:hAnsi="宋体" w:cs="宋体"/>
                <w:szCs w:val="21"/>
              </w:rPr>
              <w:t>提供了审核组名单：组长：</w:t>
            </w:r>
            <w:r>
              <w:rPr>
                <w:rFonts w:hint="eastAsia"/>
              </w:rPr>
              <w:t>陈学娇</w:t>
            </w:r>
            <w:r>
              <w:rPr>
                <w:rFonts w:hint="eastAsia" w:ascii="宋体" w:hAnsi="宋体" w:cs="宋体"/>
                <w:szCs w:val="21"/>
              </w:rPr>
              <w:t xml:space="preserve"> 组员：</w:t>
            </w:r>
            <w:r>
              <w:rPr>
                <w:rFonts w:hint="eastAsia"/>
              </w:rPr>
              <w:t>韩喆、常少文</w:t>
            </w:r>
          </w:p>
          <w:p>
            <w:pPr>
              <w:numPr>
                <w:ilvl w:val="0"/>
                <w:numId w:val="1"/>
              </w:numPr>
              <w:rPr>
                <w:rFonts w:ascii="宋体" w:hAnsi="宋体" w:cs="宋体"/>
                <w:szCs w:val="21"/>
              </w:rPr>
            </w:pPr>
            <w:r>
              <w:rPr>
                <w:rFonts w:hint="eastAsia" w:ascii="宋体" w:hAnsi="宋体" w:cs="宋体"/>
                <w:szCs w:val="21"/>
              </w:rPr>
              <w:t>审核范围：公司领导层、各部门8.3条款不适用。</w:t>
            </w:r>
          </w:p>
          <w:p>
            <w:pPr>
              <w:rPr>
                <w:rFonts w:ascii="宋体" w:hAnsi="宋体" w:cs="宋体"/>
                <w:szCs w:val="21"/>
              </w:rPr>
            </w:pPr>
            <w:r>
              <w:rPr>
                <w:rFonts w:ascii="宋体" w:hAnsi="宋体" w:cs="宋体"/>
                <w:szCs w:val="21"/>
              </w:rPr>
              <w:t>3</w:t>
            </w:r>
            <w:r>
              <w:rPr>
                <w:rFonts w:hint="eastAsia" w:ascii="宋体" w:hAnsi="宋体" w:cs="宋体"/>
                <w:szCs w:val="21"/>
              </w:rPr>
              <w:t>.审核准则：ISO9001:2015《质量管理体系 要求》、公司体系文件、适用的法律法规、产品标准等。</w:t>
            </w:r>
          </w:p>
          <w:p>
            <w:pPr>
              <w:rPr>
                <w:rFonts w:ascii="宋体" w:hAnsi="宋体" w:cs="宋体"/>
                <w:szCs w:val="21"/>
              </w:rPr>
            </w:pPr>
            <w:r>
              <w:rPr>
                <w:rFonts w:ascii="宋体" w:hAnsi="宋体" w:cs="宋体"/>
                <w:szCs w:val="21"/>
              </w:rPr>
              <w:t>4</w:t>
            </w:r>
            <w:r>
              <w:rPr>
                <w:rFonts w:hint="eastAsia" w:ascii="宋体" w:hAnsi="宋体" w:cs="宋体"/>
                <w:szCs w:val="21"/>
              </w:rPr>
              <w:t>.提供了《内审首次会议签到表》，参加人有各部门负责人等。</w:t>
            </w:r>
          </w:p>
          <w:p>
            <w:pPr>
              <w:rPr>
                <w:rFonts w:ascii="宋体" w:hAnsi="宋体" w:cs="宋体"/>
                <w:szCs w:val="21"/>
              </w:rPr>
            </w:pPr>
            <w:r>
              <w:rPr>
                <w:rFonts w:ascii="宋体" w:hAnsi="宋体" w:cs="宋体"/>
                <w:szCs w:val="21"/>
              </w:rPr>
              <w:t>5</w:t>
            </w:r>
            <w:r>
              <w:rPr>
                <w:rFonts w:hint="eastAsia" w:ascii="宋体" w:hAnsi="宋体" w:cs="宋体"/>
                <w:szCs w:val="21"/>
              </w:rPr>
              <w:t>.提供了《内审检查表》，经查阅对照，受审核部门涉及条款与公司管理体系职责分配相一致。</w:t>
            </w:r>
          </w:p>
          <w:p>
            <w:pPr>
              <w:spacing w:line="400" w:lineRule="exact"/>
              <w:textAlignment w:val="baseline"/>
              <w:rPr>
                <w:rFonts w:ascii="宋体" w:hAnsi="宋体" w:cs="宋体"/>
                <w:szCs w:val="21"/>
              </w:rPr>
            </w:pPr>
            <w:r>
              <w:rPr>
                <w:rFonts w:hint="eastAsia" w:ascii="宋体" w:hAnsi="宋体" w:cs="宋体"/>
                <w:szCs w:val="21"/>
              </w:rPr>
              <w:t>抽：质量部Q：</w:t>
            </w:r>
            <w:r>
              <w:rPr>
                <w:rFonts w:hint="eastAsia"/>
              </w:rPr>
              <w:t xml:space="preserve">5.3  6.1  6.2  7.1   8.6  8.7   10.2  </w:t>
            </w:r>
          </w:p>
          <w:p>
            <w:pPr>
              <w:pStyle w:val="2"/>
              <w:ind w:firstLine="210" w:firstLineChars="100"/>
              <w:jc w:val="left"/>
              <w:rPr>
                <w:rFonts w:ascii="宋体" w:hAnsi="宋体" w:cs="宋体"/>
                <w:bCs w:val="0"/>
                <w:spacing w:val="0"/>
                <w:szCs w:val="21"/>
              </w:rPr>
            </w:pPr>
            <w:r>
              <w:rPr>
                <w:rFonts w:hint="eastAsia" w:ascii="宋体" w:hAnsi="宋体" w:cs="宋体"/>
                <w:bCs w:val="0"/>
                <w:spacing w:val="0"/>
                <w:szCs w:val="21"/>
              </w:rPr>
              <w:t>审核记录基本满足要求，8</w:t>
            </w:r>
            <w:r>
              <w:rPr>
                <w:rFonts w:ascii="宋体" w:hAnsi="宋体" w:cs="宋体"/>
                <w:bCs w:val="0"/>
                <w:spacing w:val="0"/>
                <w:szCs w:val="21"/>
              </w:rPr>
              <w:t>.6</w:t>
            </w:r>
            <w:r>
              <w:rPr>
                <w:rFonts w:hint="eastAsia" w:ascii="宋体" w:hAnsi="宋体" w:cs="宋体"/>
                <w:bCs w:val="0"/>
                <w:spacing w:val="0"/>
                <w:szCs w:val="21"/>
              </w:rPr>
              <w:t>审核深度需加强。</w:t>
            </w:r>
          </w:p>
          <w:p>
            <w:pPr>
              <w:spacing w:line="360" w:lineRule="exact"/>
              <w:rPr>
                <w:rFonts w:ascii="宋体" w:hAnsi="宋体" w:cs="宋体"/>
                <w:szCs w:val="21"/>
              </w:rPr>
            </w:pPr>
            <w:r>
              <w:rPr>
                <w:rFonts w:ascii="宋体" w:hAnsi="宋体" w:cs="宋体"/>
                <w:szCs w:val="21"/>
              </w:rPr>
              <w:t>6</w:t>
            </w:r>
            <w:r>
              <w:rPr>
                <w:rFonts w:hint="eastAsia" w:ascii="宋体" w:hAnsi="宋体" w:cs="宋体"/>
                <w:szCs w:val="21"/>
              </w:rPr>
              <w:t>.提供了《内审不合格报告》</w:t>
            </w:r>
          </w:p>
          <w:p>
            <w:pPr>
              <w:spacing w:line="360" w:lineRule="exact"/>
              <w:rPr>
                <w:rFonts w:ascii="宋体" w:hAnsi="宋体" w:cs="宋体"/>
                <w:szCs w:val="21"/>
              </w:rPr>
            </w:pPr>
            <w:r>
              <w:rPr>
                <w:rFonts w:hint="eastAsia" w:ascii="宋体" w:hAnsi="宋体" w:cs="宋体"/>
                <w:bCs/>
                <w:szCs w:val="21"/>
              </w:rPr>
              <w:t>不符合事实描述：查综合部：</w:t>
            </w:r>
            <w:r>
              <w:rPr>
                <w:rFonts w:hint="eastAsia" w:ascii="宋体" w:hAnsi="宋体" w:cs="宋体"/>
                <w:szCs w:val="21"/>
              </w:rPr>
              <w:t>查阅钢卷尺的自校证实，受审核部门未能提供。由综合部组织相关内审员对整改后的情况进行跟踪验证，确认纠正及纠正措施有效，体系的建立、运行符合质量管理体系要求。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pPr>
              <w:rPr>
                <w:rFonts w:ascii="宋体" w:hAnsi="宋体" w:cs="宋体"/>
                <w:szCs w:val="21"/>
              </w:rPr>
            </w:pPr>
            <w:r>
              <w:rPr>
                <w:rFonts w:hint="eastAsia" w:ascii="宋体" w:hAnsi="宋体" w:cs="宋体"/>
                <w:szCs w:val="21"/>
              </w:rPr>
              <w:t>审核组长：</w:t>
            </w:r>
            <w:r>
              <w:rPr>
                <w:rFonts w:hint="eastAsia"/>
              </w:rPr>
              <w:t xml:space="preserve">陈学娇 </w:t>
            </w:r>
            <w:r>
              <w:rPr>
                <w:rFonts w:ascii="宋体" w:hAnsi="宋体" w:cs="宋体"/>
                <w:szCs w:val="21"/>
              </w:rPr>
              <w:t xml:space="preserve"> </w:t>
            </w:r>
            <w:r>
              <w:rPr>
                <w:rFonts w:hint="eastAsia" w:ascii="宋体" w:hAnsi="宋体" w:cs="宋体"/>
                <w:szCs w:val="21"/>
              </w:rPr>
              <w:t>批准：</w:t>
            </w:r>
            <w:r>
              <w:rPr>
                <w:rFonts w:hint="eastAsia"/>
              </w:rPr>
              <w:t>陈永辉</w:t>
            </w:r>
            <w:r>
              <w:rPr>
                <w:rFonts w:hint="eastAsia" w:ascii="宋体" w:hAnsi="宋体" w:cs="宋体"/>
                <w:szCs w:val="21"/>
              </w:rPr>
              <w:t xml:space="preserve"> 时间：202</w:t>
            </w:r>
            <w:r>
              <w:rPr>
                <w:rFonts w:ascii="宋体" w:hAnsi="宋体" w:cs="宋体"/>
                <w:szCs w:val="21"/>
              </w:rPr>
              <w:t>1</w:t>
            </w:r>
            <w:r>
              <w:rPr>
                <w:rFonts w:hint="eastAsia" w:ascii="宋体" w:hAnsi="宋体" w:cs="宋体"/>
                <w:szCs w:val="21"/>
              </w:rPr>
              <w:t>.3.8</w:t>
            </w:r>
          </w:p>
          <w:p>
            <w:pPr>
              <w:ind w:firstLine="420" w:firstLineChars="200"/>
            </w:pPr>
            <w:r>
              <w:rPr>
                <w:rFonts w:hint="eastAsia"/>
                <w:szCs w:val="21"/>
              </w:rPr>
              <w:t>提供了内审员培训记录，审核员没有审核自己部门工作，具有独立性。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分析与评价</w:t>
            </w:r>
          </w:p>
        </w:tc>
        <w:tc>
          <w:tcPr>
            <w:tcW w:w="960" w:type="dxa"/>
            <w:vAlign w:val="center"/>
          </w:tcPr>
          <w:p>
            <w:pPr>
              <w:rPr>
                <w:szCs w:val="21"/>
              </w:rPr>
            </w:pPr>
            <w:r>
              <w:rPr>
                <w:rFonts w:hint="eastAsia"/>
                <w:szCs w:val="21"/>
              </w:rPr>
              <w:t>Q9.1.3</w:t>
            </w:r>
          </w:p>
          <w:p/>
        </w:tc>
        <w:tc>
          <w:tcPr>
            <w:tcW w:w="10004" w:type="dxa"/>
            <w:vAlign w:val="center"/>
          </w:tcPr>
          <w:p>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公司通过数据分析，采购数据、销售数据、不合格品数据等，收集和分析适当的数据，评价公司管理体系的适宜性和有效性，充分识别可以改进的机会</w:t>
            </w:r>
          </w:p>
          <w:p>
            <w:pPr>
              <w:ind w:firstLine="420" w:firstLineChars="200"/>
              <w:rPr>
                <w:szCs w:val="21"/>
              </w:rPr>
            </w:pPr>
            <w:r>
              <w:rPr>
                <w:rFonts w:hint="eastAsia"/>
                <w:szCs w:val="21"/>
              </w:rPr>
              <w:t>公司通过以下方面确定、收集和分析适当的数据，以证实管理体系的适宜性和测试性。查有以下信息进行数据分析:</w:t>
            </w:r>
          </w:p>
          <w:p>
            <w:pPr>
              <w:rPr>
                <w:szCs w:val="21"/>
              </w:rPr>
            </w:pPr>
            <w:r>
              <w:rPr>
                <w:rFonts w:hint="eastAsia"/>
                <w:szCs w:val="21"/>
              </w:rPr>
              <w:t>1)对顾客满意率采用权重法统计分析，顾客满意率</w:t>
            </w:r>
            <w:r>
              <w:rPr>
                <w:szCs w:val="21"/>
              </w:rPr>
              <w:t>98</w:t>
            </w:r>
            <w:r>
              <w:rPr>
                <w:rFonts w:hint="eastAsia"/>
                <w:szCs w:val="21"/>
              </w:rPr>
              <w:t>%达标。</w:t>
            </w:r>
          </w:p>
          <w:p>
            <w:pPr>
              <w:rPr>
                <w:szCs w:val="21"/>
              </w:rPr>
            </w:pPr>
            <w:r>
              <w:rPr>
                <w:rFonts w:hint="eastAsia"/>
                <w:szCs w:val="21"/>
              </w:rPr>
              <w:t>2)对产品及服务质量进行了统计分析，达目标值要求</w:t>
            </w:r>
          </w:p>
          <w:p>
            <w:pPr>
              <w:rPr>
                <w:szCs w:val="21"/>
              </w:rPr>
            </w:pPr>
            <w:r>
              <w:rPr>
                <w:rFonts w:hint="eastAsia"/>
                <w:szCs w:val="21"/>
              </w:rPr>
              <w:t>3)对进货物资合格率进行了统计分析，达标</w:t>
            </w:r>
          </w:p>
          <w:p>
            <w:pPr>
              <w:rPr>
                <w:szCs w:val="21"/>
              </w:rPr>
            </w:pPr>
            <w:r>
              <w:rPr>
                <w:rFonts w:hint="eastAsia"/>
                <w:szCs w:val="21"/>
              </w:rPr>
              <w:t>4)对各部门的目标进行统计，见各部门6.2记录。</w:t>
            </w:r>
          </w:p>
          <w:p>
            <w:pPr>
              <w:ind w:firstLine="420" w:firstLineChars="200"/>
              <w:rPr>
                <w:szCs w:val="21"/>
              </w:rPr>
            </w:pPr>
            <w:r>
              <w:rPr>
                <w:rFonts w:hint="eastAsia"/>
                <w:szCs w:val="21"/>
              </w:rPr>
              <w:t>分析与评价：公司总体质量水平较高，客户对施工质量普遍有好评，企业发展具有一定空间。</w:t>
            </w:r>
          </w:p>
          <w:p>
            <w:pPr>
              <w:pStyle w:val="2"/>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不符合和纠正措施</w:t>
            </w:r>
          </w:p>
          <w:p>
            <w:pPr>
              <w:rPr>
                <w:color w:val="000000"/>
              </w:rPr>
            </w:pPr>
            <w:r>
              <w:rPr>
                <w:rFonts w:hint="eastAsia"/>
                <w:color w:val="000000"/>
              </w:rPr>
              <w:t>持续改进</w:t>
            </w:r>
          </w:p>
          <w:p/>
        </w:tc>
        <w:tc>
          <w:tcPr>
            <w:tcW w:w="960" w:type="dxa"/>
            <w:vAlign w:val="center"/>
          </w:tcPr>
          <w:p>
            <w:pPr>
              <w:rPr>
                <w:szCs w:val="21"/>
              </w:rPr>
            </w:pPr>
            <w:r>
              <w:rPr>
                <w:rFonts w:hint="eastAsia"/>
                <w:szCs w:val="21"/>
              </w:rPr>
              <w:t>Q</w:t>
            </w:r>
            <w:r>
              <w:rPr>
                <w:szCs w:val="21"/>
              </w:rPr>
              <w:t>10.2</w:t>
            </w:r>
          </w:p>
          <w:p>
            <w:pPr>
              <w:pStyle w:val="2"/>
            </w:pPr>
            <w:r>
              <w:rPr>
                <w:rFonts w:hint="eastAsia"/>
                <w:bCs w:val="0"/>
                <w:spacing w:val="0"/>
                <w:szCs w:val="21"/>
              </w:rPr>
              <w:t>Q 10.3</w:t>
            </w:r>
          </w:p>
        </w:tc>
        <w:tc>
          <w:tcPr>
            <w:tcW w:w="1000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为保证公司质量管理体系的有效运行，通过对质量事件的调查处理，以确保管理体系运行的有效性。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pStyle w:val="2"/>
              <w:rPr>
                <w:bCs w:val="0"/>
                <w:spacing w:val="0"/>
                <w:szCs w:val="21"/>
              </w:rPr>
            </w:pPr>
            <w:r>
              <w:rPr>
                <w:rFonts w:hint="eastAsia"/>
              </w:rPr>
              <w:t xml:space="preserve"> </w:t>
            </w:r>
            <w:r>
              <w:t xml:space="preserve">  </w:t>
            </w:r>
            <w:r>
              <w:rPr>
                <w:rFonts w:hint="eastAsia"/>
                <w:bCs w:val="0"/>
                <w:spacing w:val="0"/>
                <w:szCs w:val="21"/>
              </w:rPr>
              <w:t>查持续改进：</w:t>
            </w:r>
          </w:p>
          <w:p>
            <w:pPr>
              <w:pStyle w:val="2"/>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2"/>
              <w:ind w:firstLine="420" w:firstLineChars="200"/>
              <w:rPr>
                <w:bCs w:val="0"/>
                <w:spacing w:val="0"/>
                <w:szCs w:val="21"/>
              </w:rPr>
            </w:pPr>
            <w:r>
              <w:rPr>
                <w:rFonts w:hint="eastAsia"/>
                <w:bCs w:val="0"/>
                <w:spacing w:val="0"/>
                <w:szCs w:val="21"/>
              </w:rPr>
              <w:t>b. 通过数据分析、纠正、预防措施实施达到持续改进；</w:t>
            </w:r>
          </w:p>
          <w:p>
            <w:pPr>
              <w:pStyle w:val="2"/>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2"/>
              <w:ind w:firstLine="420" w:firstLineChars="200"/>
            </w:pPr>
            <w:r>
              <w:rPr>
                <w:rFonts w:hint="eastAsia"/>
                <w:bCs w:val="0"/>
                <w:spacing w:val="0"/>
                <w:szCs w:val="21"/>
              </w:rPr>
              <w:t>管理评审提出改进措施正在实施过程中</w:t>
            </w:r>
          </w:p>
        </w:tc>
        <w:tc>
          <w:tcPr>
            <w:tcW w:w="1585" w:type="dxa"/>
          </w:tcPr>
          <w:p/>
        </w:tc>
      </w:tr>
    </w:tbl>
    <w:p>
      <w:r>
        <w:ptab w:relativeTo="margin" w:alignment="center" w:leader="none"/>
      </w:r>
    </w:p>
    <w:p/>
    <w:p/>
    <w:p>
      <w:pPr>
        <w:pStyle w:val="7"/>
      </w:pPr>
      <w:r>
        <w:rPr>
          <w:rFonts w:hint="eastAsia"/>
        </w:rPr>
        <w:t>说明：不符合标注N</w:t>
      </w:r>
    </w:p>
    <w:sectPr>
      <w:headerReference r:id="rId5" w:type="default"/>
      <w:footerReference r:id="rId6" w:type="default"/>
      <w:pgSz w:w="16838" w:h="11906" w:orient="landscape"/>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rPr>
        <w:lang w:val="en-GB"/>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1"/>
      </w:pBdr>
      <w:spacing w:line="320" w:lineRule="exact"/>
      <w:jc w:val="left"/>
    </w:pPr>
    <w:r>
      <w:pict>
        <v:shape id="文本框 1" o:spid="_x0000_s2050"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EE28D"/>
    <w:multiLevelType w:val="singleLevel"/>
    <w:tmpl w:val="7FDEE2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A2D7F"/>
    <w:rsid w:val="00337922"/>
    <w:rsid w:val="00340867"/>
    <w:rsid w:val="00380837"/>
    <w:rsid w:val="00410914"/>
    <w:rsid w:val="00536930"/>
    <w:rsid w:val="005452FA"/>
    <w:rsid w:val="00564E53"/>
    <w:rsid w:val="00583277"/>
    <w:rsid w:val="00644FE2"/>
    <w:rsid w:val="0067640C"/>
    <w:rsid w:val="00695256"/>
    <w:rsid w:val="006E678B"/>
    <w:rsid w:val="007757F3"/>
    <w:rsid w:val="007E6AEB"/>
    <w:rsid w:val="008917EC"/>
    <w:rsid w:val="008973EE"/>
    <w:rsid w:val="00971600"/>
    <w:rsid w:val="009973B4"/>
    <w:rsid w:val="009F7EED"/>
    <w:rsid w:val="00AF0AAB"/>
    <w:rsid w:val="00BF597E"/>
    <w:rsid w:val="00C51A36"/>
    <w:rsid w:val="00C55228"/>
    <w:rsid w:val="00CE315A"/>
    <w:rsid w:val="00D06F59"/>
    <w:rsid w:val="00D8388C"/>
    <w:rsid w:val="00E07DBF"/>
    <w:rsid w:val="00E91D5E"/>
    <w:rsid w:val="00EB0164"/>
    <w:rsid w:val="00EB6B5A"/>
    <w:rsid w:val="00ED0F62"/>
    <w:rsid w:val="00FA0833"/>
    <w:rsid w:val="108219C2"/>
    <w:rsid w:val="175B1915"/>
    <w:rsid w:val="1926621E"/>
    <w:rsid w:val="1E6E0DE4"/>
    <w:rsid w:val="26211BBA"/>
    <w:rsid w:val="2A164857"/>
    <w:rsid w:val="2AB2173D"/>
    <w:rsid w:val="2FFC5258"/>
    <w:rsid w:val="3F146BF9"/>
    <w:rsid w:val="49E46B16"/>
    <w:rsid w:val="4A1E7222"/>
    <w:rsid w:val="52A05FBE"/>
    <w:rsid w:val="57FB7BD7"/>
    <w:rsid w:val="5BEB2DCF"/>
    <w:rsid w:val="5EA12B9A"/>
    <w:rsid w:val="64271A68"/>
    <w:rsid w:val="648C0F5C"/>
    <w:rsid w:val="679D2678"/>
    <w:rsid w:val="6F26119C"/>
    <w:rsid w:val="73EC44C6"/>
    <w:rsid w:val="74667A56"/>
    <w:rsid w:val="79543956"/>
    <w:rsid w:val="797452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jc w:val="center"/>
    </w:pPr>
    <w:rPr>
      <w:rFonts w:ascii="黑体" w:eastAsia="黑体"/>
      <w:b/>
      <w:sz w:val="84"/>
    </w:rPr>
  </w:style>
  <w:style w:type="paragraph" w:styleId="5">
    <w:name w:val="Plain Text"/>
    <w:basedOn w:val="1"/>
    <w:qFormat/>
    <w:uiPriority w:val="0"/>
    <w:rPr>
      <w:rFonts w:ascii="宋体" w:hAnsi="Courier New"/>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Header Char"/>
    <w:basedOn w:val="10"/>
    <w:link w:val="8"/>
    <w:qFormat/>
    <w:uiPriority w:val="99"/>
    <w:rPr>
      <w:rFonts w:ascii="Times New Roman" w:hAnsi="Times New Roman" w:eastAsia="宋体" w:cs="Times New Roman"/>
      <w:sz w:val="18"/>
      <w:szCs w:val="18"/>
    </w:rPr>
  </w:style>
  <w:style w:type="character" w:customStyle="1" w:styleId="12">
    <w:name w:val="Footer Char"/>
    <w:basedOn w:val="10"/>
    <w:link w:val="7"/>
    <w:qFormat/>
    <w:uiPriority w:val="99"/>
    <w:rPr>
      <w:rFonts w:ascii="Times New Roman" w:hAnsi="Times New Roman" w:eastAsia="宋体" w:cs="Times New Roman"/>
      <w:sz w:val="18"/>
      <w:szCs w:val="18"/>
    </w:rPr>
  </w:style>
  <w:style w:type="character" w:customStyle="1" w:styleId="13">
    <w:name w:val="Balloon Text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TUV</Company>
  <Pages>8</Pages>
  <Words>541</Words>
  <Characters>3084</Characters>
  <Lines>25</Lines>
  <Paragraphs>7</Paragraphs>
  <TotalTime>1</TotalTime>
  <ScaleCrop>false</ScaleCrop>
  <LinksUpToDate>false</LinksUpToDate>
  <CharactersWithSpaces>3618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2021-04-29T13:18:25Z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15E4E9BD17E34FEA8B37FB5632DD3A23</vt:lpwstr>
  </property>
</Properties>
</file>