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rFonts w:hint="eastAsia" w:asciiTheme="minorEastAsia" w:hAnsiTheme="minorEastAsia" w:eastAsiaTheme="minorEastAsia" w:cstheme="minorEastAsia"/>
                <w:szCs w:val="21"/>
              </w:rPr>
              <w:t>总经理：</w:t>
            </w:r>
            <w:r>
              <w:rPr>
                <w:rFonts w:hint="eastAsia"/>
              </w:rPr>
              <w:t xml:space="preserve">陈永辉  </w:t>
            </w:r>
            <w:r>
              <w:rPr>
                <w:rFonts w:hint="eastAsia" w:asciiTheme="minorEastAsia" w:hAnsiTheme="minorEastAsia" w:eastAsiaTheme="minorEastAsia" w:cstheme="minorEastAsia"/>
                <w:szCs w:val="21"/>
              </w:rPr>
              <w:t>管代：</w:t>
            </w:r>
            <w:r>
              <w:rPr>
                <w:rFonts w:hint="eastAsia"/>
              </w:rPr>
              <w:t xml:space="preserve">陈雪娇  </w:t>
            </w:r>
            <w:r>
              <w:rPr>
                <w:rFonts w:hint="eastAsia" w:asciiTheme="minorEastAsia" w:hAnsiTheme="minorEastAsia" w:eastAsiaTheme="minorEastAsia" w:cstheme="minorEastAsia"/>
                <w:szCs w:val="21"/>
              </w:rPr>
              <w:t xml:space="preserve"> </w:t>
            </w:r>
            <w:r>
              <w:rPr>
                <w:rFonts w:hint="eastAsia"/>
                <w:sz w:val="24"/>
                <w:szCs w:val="24"/>
              </w:rPr>
              <w:t>陪同人员：张金宝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审核员：李雅静    审核时间：202</w:t>
            </w:r>
            <w:r>
              <w:rPr>
                <w:sz w:val="24"/>
                <w:szCs w:val="24"/>
              </w:rPr>
              <w:t>1</w:t>
            </w:r>
            <w:r>
              <w:rPr>
                <w:rFonts w:hint="eastAsia"/>
                <w:sz w:val="24"/>
                <w:szCs w:val="24"/>
              </w:rPr>
              <w:t>.</w:t>
            </w:r>
            <w:r>
              <w:rPr>
                <w:sz w:val="24"/>
                <w:szCs w:val="24"/>
              </w:rPr>
              <w:t>04</w:t>
            </w:r>
            <w:r>
              <w:rPr>
                <w:rFonts w:hint="eastAsia"/>
                <w:sz w:val="24"/>
                <w:szCs w:val="24"/>
              </w:rPr>
              <w:t>.</w:t>
            </w:r>
            <w:r>
              <w:rPr>
                <w:sz w:val="24"/>
                <w:szCs w:val="24"/>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Cs w:val="24"/>
              </w:rPr>
            </w:pPr>
            <w:r>
              <w:rPr>
                <w:rFonts w:hint="eastAsia"/>
                <w:sz w:val="24"/>
                <w:szCs w:val="24"/>
              </w:rPr>
              <w:t>审核条款：</w:t>
            </w:r>
            <w:r>
              <w:rPr>
                <w:rFonts w:hint="eastAsia"/>
                <w:szCs w:val="24"/>
              </w:rPr>
              <w:t>标准条款：</w:t>
            </w:r>
          </w:p>
          <w:p>
            <w:pPr>
              <w:rPr>
                <w:rFonts w:ascii="宋体" w:hAnsi="宋体" w:cs="宋体"/>
                <w:szCs w:val="21"/>
              </w:rPr>
            </w:pPr>
            <w:r>
              <w:rPr>
                <w:rFonts w:ascii="宋体" w:hAnsi="宋体" w:cs="宋体"/>
                <w:szCs w:val="21"/>
              </w:rPr>
              <w:t>Q:4.1/4.2/4.3/4.4/5.1/5.2/5.3/6.1/6.2/6.3/7.1.1/9.1.1/9.3/10.1/10.3</w:t>
            </w:r>
          </w:p>
          <w:p>
            <w:pPr>
              <w:rPr>
                <w:sz w:val="24"/>
                <w:szCs w:val="24"/>
              </w:rPr>
            </w:pPr>
            <w:r>
              <w:rPr>
                <w:rFonts w:hint="eastAsia" w:ascii="宋体" w:hAnsi="宋体"/>
                <w:sz w:val="18"/>
              </w:rPr>
              <w:t>资质验证/范围再确认/初审问题验证/投诉或事故/政府主管部门监督抽查情况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pStyle w:val="2"/>
            </w:pPr>
          </w:p>
          <w:p>
            <w:pPr>
              <w:pStyle w:val="2"/>
            </w:pPr>
          </w:p>
          <w:p>
            <w:pPr>
              <w:pStyle w:val="2"/>
            </w:pPr>
          </w:p>
          <w:p>
            <w:pPr>
              <w:pStyle w:val="2"/>
            </w:pPr>
          </w:p>
          <w:p>
            <w:pPr>
              <w:pStyle w:val="2"/>
            </w:pPr>
          </w:p>
          <w:p>
            <w:pPr>
              <w:pStyle w:val="2"/>
            </w:pPr>
          </w:p>
          <w:p>
            <w:pPr>
              <w:pStyle w:val="2"/>
            </w:pPr>
          </w:p>
          <w:p>
            <w:pPr>
              <w:pStyle w:val="2"/>
            </w:pPr>
          </w:p>
          <w:p>
            <w:r>
              <w:rPr>
                <w:rFonts w:hint="eastAsia" w:asciiTheme="minorEastAsia" w:hAnsiTheme="minorEastAsia" w:eastAsiaTheme="minorEastAsia" w:cstheme="minorEastAsia"/>
                <w:szCs w:val="21"/>
                <w:lang w:val="en-US" w:eastAsia="zh-CN"/>
              </w:rPr>
              <w:t>上次审核</w:t>
            </w:r>
            <w:r>
              <w:rPr>
                <w:rFonts w:hint="eastAsia" w:asciiTheme="minorEastAsia" w:hAnsiTheme="minorEastAsia" w:eastAsiaTheme="minorEastAsia" w:cstheme="minorEastAsia"/>
                <w:szCs w:val="21"/>
              </w:rPr>
              <w:t>问题验证</w:t>
            </w:r>
          </w:p>
          <w:p>
            <w:pPr>
              <w:pStyle w:val="2"/>
            </w:pPr>
            <w:r>
              <w:rPr>
                <w:rFonts w:hint="eastAsia" w:asciiTheme="minorEastAsia" w:hAnsiTheme="minorEastAsia" w:eastAsiaTheme="minorEastAsia" w:cstheme="minorEastAsia"/>
                <w:bCs w:val="0"/>
                <w:szCs w:val="21"/>
              </w:rPr>
              <w:t>投诉或事故/政府主管部门监督抽查情况</w:t>
            </w:r>
          </w:p>
          <w:p>
            <w:pPr>
              <w:pStyle w:val="2"/>
            </w:pPr>
          </w:p>
          <w:p>
            <w:pPr>
              <w:pStyle w:val="2"/>
            </w:pPr>
          </w:p>
        </w:tc>
        <w:tc>
          <w:tcPr>
            <w:tcW w:w="960" w:type="dxa"/>
            <w:vAlign w:val="center"/>
          </w:tcPr>
          <w:p>
            <w:pPr>
              <w:pStyle w:val="2"/>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Q4.3</w:t>
            </w: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pPr>
          </w:p>
        </w:tc>
        <w:tc>
          <w:tcPr>
            <w:tcW w:w="10004" w:type="dxa"/>
            <w:vAlign w:val="center"/>
          </w:tcPr>
          <w:p>
            <w:pPr>
              <w:rPr>
                <w:bCs/>
                <w:spacing w:val="10"/>
                <w:szCs w:val="22"/>
              </w:rPr>
            </w:pPr>
            <w:bookmarkStart w:id="0" w:name="组织名称"/>
            <w:r>
              <w:rPr>
                <w:rFonts w:hint="eastAsia"/>
                <w:bCs/>
                <w:spacing w:val="10"/>
                <w:szCs w:val="22"/>
              </w:rPr>
              <w:t>鞍山辉润机械制造有限公司</w:t>
            </w:r>
            <w:bookmarkEnd w:id="0"/>
            <w:r>
              <w:rPr>
                <w:rFonts w:hint="eastAsia"/>
                <w:bCs/>
                <w:spacing w:val="10"/>
                <w:szCs w:val="22"/>
              </w:rPr>
              <w:t xml:space="preserve">   注册资本：2000万元 成立日期：2012-02-14 期限：2012-02-14 至 2022-02-14</w:t>
            </w:r>
          </w:p>
          <w:p>
            <w:pPr>
              <w:rPr>
                <w:bCs/>
                <w:spacing w:val="10"/>
                <w:szCs w:val="22"/>
              </w:rPr>
            </w:pPr>
            <w:r>
              <w:rPr>
                <w:rFonts w:hint="eastAsia"/>
                <w:bCs/>
                <w:spacing w:val="10"/>
                <w:szCs w:val="22"/>
              </w:rPr>
              <w:t>统一社会信用：912103815873411888 法人：陈永辉</w:t>
            </w:r>
          </w:p>
          <w:p>
            <w:pPr>
              <w:rPr>
                <w:bCs/>
                <w:spacing w:val="10"/>
                <w:szCs w:val="22"/>
              </w:rPr>
            </w:pPr>
            <w:r>
              <w:rPr>
                <w:rFonts w:hint="eastAsia"/>
                <w:bCs/>
                <w:spacing w:val="10"/>
                <w:szCs w:val="22"/>
              </w:rPr>
              <w:t>注册地址：</w:t>
            </w:r>
            <w:bookmarkStart w:id="1" w:name="生产地址"/>
            <w:r>
              <w:rPr>
                <w:rFonts w:hint="eastAsia"/>
                <w:bCs/>
                <w:spacing w:val="10"/>
                <w:szCs w:val="22"/>
              </w:rPr>
              <w:t>辽宁省鞍山市铁西区双德路5号</w:t>
            </w:r>
            <w:bookmarkEnd w:id="1"/>
          </w:p>
          <w:p>
            <w:pPr>
              <w:rPr>
                <w:bCs/>
                <w:spacing w:val="10"/>
                <w:szCs w:val="22"/>
              </w:rPr>
            </w:pPr>
            <w:r>
              <w:rPr>
                <w:rFonts w:hint="eastAsia"/>
                <w:bCs/>
                <w:spacing w:val="10"/>
                <w:szCs w:val="22"/>
              </w:rPr>
              <w:t>经营范围：机械加工、铆焊、结构件制作；锅炉辅机、烘干设备、阀门制作、安装、销售：锅炉配件、二类以下机电产品销售；除尘设备制作、安装、维修。（依法须经批准的项目，经相关部门批准后方可开展经营活动。</w:t>
            </w:r>
          </w:p>
          <w:p>
            <w:pPr>
              <w:pStyle w:val="2"/>
            </w:pPr>
            <w:r>
              <w:rPr>
                <w:rFonts w:hint="eastAsia"/>
              </w:rPr>
              <w:t>公司的主要客户群为全国各地的企业、机关、个人，公司采用总经理负责制，层层把关，让用户真正放心。</w:t>
            </w: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提供有企业营业执照：见附件</w:t>
            </w: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认证范围：</w:t>
            </w:r>
          </w:p>
          <w:p>
            <w:pPr>
              <w:rPr>
                <w:rFonts w:asciiTheme="minorEastAsia" w:hAnsiTheme="minorEastAsia" w:eastAsiaTheme="minorEastAsia" w:cstheme="minorEastAsia"/>
                <w:szCs w:val="21"/>
              </w:rPr>
            </w:pPr>
            <w:r>
              <w:rPr>
                <w:rFonts w:ascii="宋体" w:hAnsi="宋体" w:cs="宋体"/>
                <w:color w:val="000000"/>
                <w:kern w:val="0"/>
                <w:szCs w:val="24"/>
                <w:u w:val="single"/>
              </w:rPr>
              <w:t xml:space="preserve"> </w:t>
            </w:r>
            <w:bookmarkStart w:id="2" w:name="审核范围"/>
            <w:r>
              <w:rPr>
                <w:rFonts w:ascii="宋体" w:hAnsi="宋体" w:cs="宋体"/>
                <w:color w:val="000000"/>
                <w:kern w:val="0"/>
                <w:szCs w:val="24"/>
                <w:u w:val="single"/>
              </w:rPr>
              <w:t>一般机械加工； 结构件制作； 阀门（星型卸灰阀、蝶阀、插板阀等）制作； 锅炉辅机（链条炉排、除渣机）制作安装； 除尘输送机设备（刮板、埋刮板、螺旋）制作安装及相关服务</w:t>
            </w:r>
            <w:bookmarkEnd w:id="2"/>
            <w:r>
              <w:rPr>
                <w:rFonts w:ascii="宋体" w:hAnsi="宋体" w:cs="宋体"/>
                <w:color w:val="000000"/>
                <w:kern w:val="0"/>
                <w:szCs w:val="24"/>
                <w:u w:val="single"/>
              </w:rPr>
              <w:t xml:space="preserve">  </w:t>
            </w:r>
            <w:r>
              <w:rPr>
                <w:rFonts w:hint="eastAsia" w:asciiTheme="minorEastAsia" w:hAnsiTheme="minorEastAsia" w:eastAsiaTheme="minorEastAsia" w:cstheme="minorEastAsia"/>
                <w:szCs w:val="21"/>
              </w:rPr>
              <w:t>认证范围在经营范围内。本次监督审核没有发生范围变化。</w:t>
            </w:r>
          </w:p>
          <w:p>
            <w:pPr>
              <w:rPr>
                <w:rFonts w:asciiTheme="minorEastAsia" w:hAnsiTheme="minorEastAsia" w:cstheme="minorEastAsia"/>
                <w:szCs w:val="21"/>
              </w:rPr>
            </w:pPr>
            <w:r>
              <w:rPr>
                <w:rFonts w:hint="eastAsia" w:ascii="宋体" w:hAnsi="宋体"/>
                <w:b/>
                <w:bCs/>
              </w:rPr>
              <w:t>不适用条款:Q8.3，</w:t>
            </w:r>
            <w:r>
              <w:rPr>
                <w:rFonts w:hint="eastAsia" w:ascii="宋体" w:hAnsi="宋体"/>
                <w:b/>
                <w:color w:val="000000" w:themeColor="text1"/>
                <w:sz w:val="20"/>
              </w:rPr>
              <w:t xml:space="preserve">不适用理由： </w:t>
            </w:r>
            <w:r>
              <w:rPr>
                <w:rFonts w:hint="eastAsia" w:ascii="宋体" w:hAnsi="宋体"/>
                <w:szCs w:val="21"/>
              </w:rPr>
              <w:t>因该公司的</w:t>
            </w:r>
            <w:r>
              <w:rPr>
                <w:rFonts w:ascii="宋体" w:hAnsi="宋体" w:cs="宋体"/>
                <w:color w:val="000000"/>
                <w:kern w:val="0"/>
                <w:szCs w:val="24"/>
                <w:u w:val="single"/>
              </w:rPr>
              <w:t>结构件制作； 阀门（星型卸灰阀、蝶阀、插板阀等）制作； 锅炉辅机（链条炉排、除渣机）制作安装； 除尘输送机设备（刮板、埋刮板、螺旋）制作安装及相关服</w:t>
            </w:r>
            <w:r>
              <w:rPr>
                <w:rFonts w:hint="eastAsia" w:ascii="宋体" w:hAnsi="宋体"/>
                <w:szCs w:val="21"/>
              </w:rPr>
              <w:t>务，按照顾客的要求进行，该条款的不适用,</w:t>
            </w:r>
            <w:r>
              <w:rPr>
                <w:rFonts w:hint="eastAsia"/>
              </w:rPr>
              <w:t>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查信用中国网站确认该企业无异常经营记录、无违法失信记录。</w:t>
            </w:r>
          </w:p>
          <w:p>
            <w:pPr>
              <w:pStyle w:val="2"/>
              <w:rPr>
                <w:rFonts w:asciiTheme="minorEastAsia" w:hAnsiTheme="minorEastAsia" w:eastAsiaTheme="minorEastAsia" w:cstheme="minorEastAsia"/>
                <w:bCs w:val="0"/>
                <w:color w:val="FF0000"/>
                <w:szCs w:val="21"/>
              </w:rPr>
            </w:pPr>
            <w:r>
              <w:rPr>
                <w:rFonts w:hint="eastAsia" w:asciiTheme="minorEastAsia" w:hAnsiTheme="minorEastAsia" w:eastAsiaTheme="minorEastAsia" w:cstheme="minorEastAsia"/>
                <w:bCs w:val="0"/>
                <w:szCs w:val="21"/>
              </w:rPr>
              <w:t>对于企业的外包过程也进行了充分识别，公司外包过程；热处理、镀铬</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严重客户投诉或质量事故:无      政府主管部门监督抽查情况:无</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上次审核问题：查生产部直尺、弯尺检验报告过期，本次审核提供友检验报告，在有效期内，整改有效</w:t>
            </w:r>
            <w:bookmarkStart w:id="3" w:name="_GoBack"/>
            <w:bookmarkEnd w:id="3"/>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理解组织及其环境</w:t>
            </w:r>
          </w:p>
          <w:p>
            <w:r>
              <w:rPr>
                <w:rFonts w:hint="eastAsia"/>
                <w:b/>
              </w:rPr>
              <w:t>总要求</w:t>
            </w:r>
          </w:p>
        </w:tc>
        <w:tc>
          <w:tcPr>
            <w:tcW w:w="960" w:type="dxa"/>
            <w:vAlign w:val="center"/>
          </w:tcPr>
          <w:p>
            <w:r>
              <w:rPr>
                <w:rFonts w:hint="eastAsia"/>
                <w:b/>
              </w:rPr>
              <w:t>Q</w:t>
            </w:r>
            <w:r>
              <w:rPr>
                <w:b/>
              </w:rPr>
              <w:t>4.1</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现场询问总经理陈永辉，公司确定了与本公司质量目标和战略方向相关并影响实现质量管理体系预期结果的各种因素，包括：</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--外部的文化、社会、政治、法律、监管、财务、技术、经济、自然以及竞争环境，包括国际的、国内的、区域的和地方的；</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--组织内部特征或条件，例如：其活动、产品和服务、战略方向、文化与能力.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--国际、国内、区域和当地的各种法律法规、竞争、市场和经济方面因素；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--公司和员工的文化、价值观、知识、绩效等因素；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--确定受组织影响的或能够影响组织的环境状况。考虑可能从组织内延伸到当地、区域或全球系统：</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--包括与气候、空气质量、水质量、土地使用、现存污染、自然资源的可获得性、生物多样性等相关的环境状况；</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公司主要业务为</w:t>
            </w:r>
            <w:r>
              <w:rPr>
                <w:rFonts w:hint="eastAsia" w:ascii="宋体" w:hAnsi="宋体"/>
                <w:szCs w:val="21"/>
              </w:rPr>
              <w:t>机械零部件的销售及技术服务</w:t>
            </w:r>
            <w:r>
              <w:rPr>
                <w:rFonts w:hint="eastAsia" w:asciiTheme="minorEastAsia" w:hAnsiTheme="minorEastAsia" w:eastAsiaTheme="minorEastAsia" w:cstheme="minorEastAsia"/>
                <w:szCs w:val="21"/>
              </w:rPr>
              <w:t>，客户覆盖全国机械加工行业；公司采用经理负责制，层层把关，让用户真正放心。</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提供了《组织内外部环境因素识别表》：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内部环境：资源因素－人员流动、设备设施</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外部因素：同行业竞争、相关方等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办公设备：电脑、打印机、传真机、电话等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本公司设施设备可以确保</w:t>
            </w:r>
            <w:r>
              <w:rPr>
                <w:rFonts w:hint="eastAsia" w:ascii="宋体" w:hAnsi="宋体"/>
                <w:szCs w:val="21"/>
              </w:rPr>
              <w:t>机械零部件的销售及技术服务</w:t>
            </w:r>
            <w:r>
              <w:rPr>
                <w:rFonts w:hint="eastAsia" w:ascii="宋体" w:hAnsi="宋体"/>
                <w:color w:val="000000"/>
                <w:szCs w:val="21"/>
              </w:rPr>
              <w:t>，</w:t>
            </w:r>
            <w:r>
              <w:rPr>
                <w:rFonts w:hint="eastAsia" w:asciiTheme="minorEastAsia" w:hAnsiTheme="minorEastAsia" w:eastAsiaTheme="minorEastAsia" w:cstheme="minorEastAsia"/>
                <w:szCs w:val="21"/>
              </w:rPr>
              <w:t>基本的质量控制要求－SWOT分析：WT……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外部环境：竞争力－：同类产品制作厂家比较多，竞争力强，市场调查和分析－具体现状描述：本公司产品质量稳定。</w:t>
            </w:r>
          </w:p>
          <w:p>
            <w:pPr>
              <w:ind w:firstLine="420" w:firstLineChars="200"/>
            </w:pPr>
            <w:r>
              <w:rPr>
                <w:rFonts w:hint="eastAsia" w:asciiTheme="minorEastAsia" w:hAnsiTheme="minorEastAsia" w:eastAsiaTheme="minorEastAsia" w:cstheme="minorEastAsia"/>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理解相关方的需求和期望</w:t>
            </w:r>
          </w:p>
        </w:tc>
        <w:tc>
          <w:tcPr>
            <w:tcW w:w="960" w:type="dxa"/>
            <w:vAlign w:val="center"/>
          </w:tcPr>
          <w:p>
            <w:r>
              <w:rPr>
                <w:b/>
              </w:rPr>
              <w:t>Q4.2</w:t>
            </w:r>
          </w:p>
        </w:tc>
        <w:tc>
          <w:tcPr>
            <w:tcW w:w="10004" w:type="dxa"/>
            <w:vAlign w:val="center"/>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与公司领导交流，</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szCs w:val="21"/>
              </w:rPr>
              <w:t>做为公司经营风险分析和发展机遇的可利用资源。内外部相关方需求分析高管层分析很到位，政策执行也好，未形成很好的书面材料。</w:t>
            </w:r>
          </w:p>
          <w:p>
            <w:pPr>
              <w:ind w:firstLine="420" w:firstLineChars="200"/>
            </w:pPr>
            <w:r>
              <w:rPr>
                <w:rFonts w:hint="eastAsia"/>
              </w:rPr>
              <w:t>公司运营过程中充分考虑相关方方面的期望或要求，识别的相关方有：顾客、最终用户或受益人、业主，股东、员工等。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tc>
        <w:tc>
          <w:tcPr>
            <w:tcW w:w="960" w:type="dxa"/>
            <w:vAlign w:val="center"/>
          </w:tcPr>
          <w:p>
            <w:r>
              <w:rPr>
                <w:b/>
              </w:rPr>
              <w:t>Q4.4</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2018.10.8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pPr>
            <w:r>
              <w:rPr>
                <w:rFonts w:hint="eastAsia" w:asciiTheme="minorEastAsia" w:hAnsiTheme="minorEastAsia" w:eastAsiaTheme="minorEastAsia" w:cstheme="minorEastAsia"/>
                <w:szCs w:val="21"/>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center"/>
          </w:tcPr>
          <w:p>
            <w:pPr>
              <w:rPr>
                <w:b/>
              </w:rPr>
            </w:pPr>
            <w:r>
              <w:rPr>
                <w:rFonts w:hint="eastAsia"/>
                <w:b/>
              </w:rPr>
              <w:t>领导作用和承诺</w:t>
            </w:r>
          </w:p>
          <w:p>
            <w:pPr>
              <w:rPr>
                <w:b/>
              </w:rPr>
            </w:pPr>
          </w:p>
          <w:p>
            <w:r>
              <w:rPr>
                <w:rFonts w:hint="eastAsia"/>
                <w:b/>
              </w:rPr>
              <w:t>总则</w:t>
            </w:r>
          </w:p>
        </w:tc>
        <w:tc>
          <w:tcPr>
            <w:tcW w:w="960" w:type="dxa"/>
            <w:vAlign w:val="center"/>
          </w:tcPr>
          <w:p>
            <w:r>
              <w:rPr>
                <w:b/>
              </w:rPr>
              <w:t>Q</w:t>
            </w:r>
            <w:r>
              <w:rPr>
                <w:rFonts w:hint="eastAsia"/>
                <w:b/>
              </w:rPr>
              <w:t>5.1.1</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最高管理者以顾客为关注焦点和承诺内部有通过以下方面证实：</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确定和应对风险和机遇，这些风险和机遇可能影响产品和服务合格以及增强顾客满意的能力；始终致力于增强顾客和相关方满意。</w:t>
            </w:r>
          </w:p>
          <w:p>
            <w:pPr>
              <w:ind w:firstLine="420" w:firstLineChars="200"/>
            </w:pPr>
            <w:r>
              <w:rPr>
                <w:rFonts w:hint="eastAsia" w:asciiTheme="minorEastAsia" w:hAnsiTheme="minorEastAsia" w:eastAsiaTheme="minorEastAsia" w:cstheme="minorEastAsia"/>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为确保管理体系所需的资源（包括人力、设备、技术和信息等）确保管理体系实现期望的结果；督促人员积极参与、指导和支持员工为管理体系的有效性做出贡献；</w:t>
            </w:r>
          </w:p>
          <w:p>
            <w:pPr>
              <w:ind w:firstLine="420" w:firstLineChars="200"/>
            </w:pPr>
            <w:r>
              <w:rPr>
                <w:rFonts w:hint="eastAsia" w:asciiTheme="minorEastAsia" w:hAnsiTheme="minorEastAsia" w:eastAsiaTheme="minorEastAsia" w:cstheme="minorEastAsia"/>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以顾客为关注焦点</w:t>
            </w:r>
          </w:p>
        </w:tc>
        <w:tc>
          <w:tcPr>
            <w:tcW w:w="960" w:type="dxa"/>
            <w:vAlign w:val="center"/>
          </w:tcPr>
          <w:p>
            <w:r>
              <w:rPr>
                <w:b/>
              </w:rPr>
              <w:t>Q</w:t>
            </w:r>
            <w:r>
              <w:rPr>
                <w:rFonts w:hint="eastAsia"/>
                <w:b/>
              </w:rPr>
              <w:t>5.1.2</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公司的成功取决于理解并满足顾客及其他相关方当前和未来的需求和期望，并争取超越这些需求和期望。最高管理者实现顾客满意为目标，做到：</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a）确定、理解并持续满足顾客要求以及适用的法律法规要求；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b）确定和应对能够影响产品、服务符合性以及增强顾客满意能力的风险和机遇；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c）始终致力于增强顾客满意。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公司的生存和发展依存于顾客，公司全体员工以增强顾客满意为目标，做到：</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a)以顾客满意为目标，由销售部通过对顾客的访问、市场调查，了解和确定顾客和潜在顾客的需求和期望；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b)通过对生产和服务要求的评审和产品实现的策划等过程，将顾客的需求和期望转化为产品要求、过程要求和质量管理要求；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c)通过管理体系过程的有效控制，使转化的产品要求得到满足，并通过对顾客反馈信息的分析、处置和沟通，增强顾客的满意程度；</w:t>
            </w:r>
          </w:p>
          <w:p>
            <w:pPr>
              <w:ind w:firstLine="420" w:firstLineChars="200"/>
            </w:pPr>
            <w:r>
              <w:rPr>
                <w:rFonts w:hint="eastAsia" w:asciiTheme="minorEastAsia" w:hAnsiTheme="minorEastAsia" w:eastAsiaTheme="minorEastAsia" w:cstheme="minorEastAsia"/>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制定管理方针</w:t>
            </w:r>
          </w:p>
          <w:p>
            <w:r>
              <w:rPr>
                <w:rFonts w:hint="eastAsia"/>
                <w:b/>
              </w:rPr>
              <w:t>沟通质量方针</w:t>
            </w:r>
          </w:p>
        </w:tc>
        <w:tc>
          <w:tcPr>
            <w:tcW w:w="960" w:type="dxa"/>
            <w:vAlign w:val="center"/>
          </w:tcPr>
          <w:p>
            <w:pPr>
              <w:rPr>
                <w:b/>
              </w:rPr>
            </w:pPr>
            <w:r>
              <w:rPr>
                <w:b/>
              </w:rPr>
              <w:t>Q5.2</w:t>
            </w:r>
          </w:p>
          <w:p/>
        </w:tc>
        <w:tc>
          <w:tcPr>
            <w:tcW w:w="10004" w:type="dxa"/>
            <w:vAlign w:val="center"/>
          </w:tcPr>
          <w:p>
            <w:pPr>
              <w:ind w:firstLine="420" w:firstLineChars="200"/>
              <w:rPr>
                <w:b/>
                <w:sz w:val="24"/>
              </w:rPr>
            </w:pPr>
            <w:r>
              <w:rPr>
                <w:rFonts w:hint="eastAsia" w:asciiTheme="minorEastAsia" w:hAnsiTheme="minorEastAsia" w:eastAsiaTheme="minorEastAsia" w:cstheme="minorEastAsia"/>
                <w:szCs w:val="21"/>
              </w:rPr>
              <w:t>该企业的质量方针是</w:t>
            </w:r>
            <w:r>
              <w:rPr>
                <w:rFonts w:hint="eastAsia" w:asciiTheme="minorEastAsia" w:hAnsiTheme="minorEastAsia" w:eastAsiaTheme="minorEastAsia" w:cstheme="minorEastAsia"/>
                <w:b/>
                <w:bCs/>
                <w:szCs w:val="21"/>
              </w:rPr>
              <w:t>：</w:t>
            </w:r>
            <w:r>
              <w:rPr>
                <w:rFonts w:hint="eastAsia"/>
                <w:b/>
                <w:sz w:val="24"/>
              </w:rPr>
              <w:t>产品质量一流、服务质量一流、保持持续改进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pPr>
              <w:ind w:firstLine="420" w:firstLineChars="200"/>
            </w:pPr>
            <w:r>
              <w:rPr>
                <w:rFonts w:hint="eastAsia" w:asciiTheme="minorEastAsia" w:hAnsiTheme="minorEastAsia" w:eastAsiaTheme="minorEastAsia" w:cstheme="minorEastAsia"/>
                <w:szCs w:val="21"/>
              </w:rPr>
              <w:t>质量方针没有变化。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组织的岗位、职责和权限</w:t>
            </w:r>
          </w:p>
        </w:tc>
        <w:tc>
          <w:tcPr>
            <w:tcW w:w="960" w:type="dxa"/>
            <w:vAlign w:val="center"/>
          </w:tcPr>
          <w:p>
            <w:pPr>
              <w:rPr>
                <w:b/>
              </w:rPr>
            </w:pPr>
            <w:r>
              <w:rPr>
                <w:b/>
              </w:rPr>
              <w:t>Q5.3</w:t>
            </w:r>
          </w:p>
          <w:p/>
        </w:tc>
        <w:tc>
          <w:tcPr>
            <w:tcW w:w="10004" w:type="dxa"/>
            <w:vAlign w:val="center"/>
          </w:tcPr>
          <w:p>
            <w:pPr>
              <w:ind w:firstLine="422" w:firstLineChars="200"/>
            </w:pPr>
            <w:r>
              <w:rPr>
                <w:rFonts w:hint="eastAsia"/>
                <w:b/>
              </w:rPr>
              <w:t>公</w:t>
            </w:r>
            <w:r>
              <w:rPr>
                <w:rFonts w:hint="eastAsia" w:asciiTheme="minorEastAsia" w:hAnsiTheme="minorEastAsia" w:eastAsiaTheme="minorEastAsia" w:cstheme="minorEastAsia"/>
                <w:szCs w:val="21"/>
              </w:rPr>
              <w:t>司设置了完善的组织结构，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动，出示了公司管理体系职能分配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60" w:type="dxa"/>
            <w:vAlign w:val="center"/>
          </w:tcPr>
          <w:p>
            <w:r>
              <w:rPr>
                <w:rFonts w:hint="eastAsia"/>
                <w:b/>
              </w:rPr>
              <w:t>风险和机遇应对措施及策划</w:t>
            </w:r>
          </w:p>
        </w:tc>
        <w:tc>
          <w:tcPr>
            <w:tcW w:w="960" w:type="dxa"/>
            <w:vAlign w:val="center"/>
          </w:tcPr>
          <w:p>
            <w:r>
              <w:rPr>
                <w:rFonts w:hint="eastAsia"/>
                <w:b/>
              </w:rPr>
              <w:t>Q</w:t>
            </w:r>
            <w:r>
              <w:rPr>
                <w:b/>
              </w:rPr>
              <w:t>6.1</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制定《应对风险和机遇控制程序》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提供“风险与机遇评价与应对策划表”，按照</w:t>
            </w:r>
            <w:r>
              <w:rPr>
                <w:rFonts w:hint="eastAsia" w:ascii="宋体" w:hAnsi="宋体"/>
                <w:szCs w:val="21"/>
              </w:rPr>
              <w:t>机械零部件的销售及技术服务</w:t>
            </w:r>
            <w:r>
              <w:rPr>
                <w:rFonts w:hint="eastAsia" w:asciiTheme="minorEastAsia" w:hAnsiTheme="minorEastAsia" w:eastAsiaTheme="minorEastAsia" w:cstheme="minorEastAsia"/>
                <w:szCs w:val="21"/>
              </w:rPr>
              <w:t>等过程/部门对风险和机遇进行了评价识别，并制定应对措施。如外协加工热处理及电镀相关方因环境问题导致停产，原材料供应链断裂风险；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采取措施是：加强对外协厂商的管理工作，增加合格外协厂商备用。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制定并严格执行合同会签制度，各部门主管负责人及总经理审阅同意后才能签署盖章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每月按照合同、协议对账时间及时对账，催款，回款，降低资金风险。</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本公司盖完章后，一个月内必须收回对方盖章合同。如到期回不来备注原因，降低公司无合同风险。</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公司提供财务支持，对主要供应商的优质产品保持价格优势，促进有序采购；</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及时获取顾客要求，对供货商进行严格资质评定，有环保要求的产品要求提供检测报告或材质单应急准备与响应控制程序、应急预案/制定目标等。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识别人：</w:t>
            </w:r>
            <w:r>
              <w:rPr>
                <w:rFonts w:hint="eastAsia"/>
              </w:rPr>
              <w:t>陈永辉、韩喆、陈雪娇、张守臣</w:t>
            </w:r>
            <w:r>
              <w:rPr>
                <w:rFonts w:hint="eastAsia" w:asciiTheme="minorEastAsia" w:hAnsiTheme="minorEastAsia" w:eastAsiaTheme="minorEastAsia" w:cstheme="minorEastAsia"/>
                <w:szCs w:val="21"/>
              </w:rPr>
              <w:t>，批准：</w:t>
            </w:r>
            <w:r>
              <w:rPr>
                <w:rFonts w:hint="eastAsia"/>
              </w:rPr>
              <w:t>陈永辉</w:t>
            </w:r>
            <w:r>
              <w:rPr>
                <w:rFonts w:hint="eastAsia" w:asciiTheme="minorEastAsia" w:hAnsiTheme="minorEastAsia" w:eastAsiaTheme="minorEastAsia" w:cstheme="minorEastAsia"/>
                <w:szCs w:val="21"/>
              </w:rPr>
              <w:t xml:space="preserve">  </w:t>
            </w:r>
          </w:p>
          <w:p>
            <w:pPr>
              <w:ind w:firstLine="420" w:firstLineChars="200"/>
            </w:pPr>
            <w:r>
              <w:rPr>
                <w:rFonts w:hint="eastAsia" w:asciiTheme="minorEastAsia" w:hAnsiTheme="minorEastAsia" w:eastAsiaTheme="minorEastAsia" w:cstheme="minorEastAsia"/>
                <w:szCs w:val="21"/>
              </w:rPr>
              <w:t>风险机遇识别基本充分，应对风险和机遇的措施基本适宜</w:t>
            </w:r>
            <w:r>
              <w:rPr>
                <w:rFonts w:hint="eastAsia"/>
                <w:b/>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r>
              <w:rPr>
                <w:rFonts w:hint="eastAsia"/>
                <w:b/>
              </w:rPr>
              <w:t>管理目标及其实现的策划</w:t>
            </w:r>
          </w:p>
        </w:tc>
        <w:tc>
          <w:tcPr>
            <w:tcW w:w="960" w:type="dxa"/>
            <w:vAlign w:val="center"/>
          </w:tcPr>
          <w:p>
            <w:pPr>
              <w:rPr>
                <w:b/>
              </w:rPr>
            </w:pPr>
            <w:r>
              <w:rPr>
                <w:b/>
              </w:rPr>
              <w:t>Q6.2</w:t>
            </w:r>
          </w:p>
          <w:p/>
        </w:tc>
        <w:tc>
          <w:tcPr>
            <w:tcW w:w="10004" w:type="dxa"/>
            <w:vAlign w:val="center"/>
          </w:tcPr>
          <w:p>
            <w:pPr>
              <w:ind w:firstLine="420" w:firstLineChars="200"/>
              <w:rPr>
                <w:rFonts w:asciiTheme="minorEastAsia" w:hAnsiTheme="minorEastAsia" w:eastAsiaTheme="minorEastAsia" w:cstheme="minorEastAsia"/>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公司质量目标：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w:char="F081"/>
            </w:r>
            <w:r>
              <w:rPr>
                <w:rFonts w:hint="eastAsia" w:asciiTheme="minorEastAsia" w:hAnsiTheme="minorEastAsia" w:eastAsiaTheme="minorEastAsia" w:cstheme="minorEastAsia"/>
                <w:szCs w:val="21"/>
              </w:rPr>
              <w:t xml:space="preserve">一次交检合格率大于98% ；          </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sym w:font="Wingdings" w:char="F082"/>
            </w:r>
            <w:r>
              <w:rPr>
                <w:rFonts w:hint="eastAsia" w:asciiTheme="minorEastAsia" w:hAnsiTheme="minorEastAsia" w:eastAsiaTheme="minorEastAsia" w:cstheme="minorEastAsia"/>
                <w:szCs w:val="21"/>
              </w:rPr>
              <w:t xml:space="preserve">顾客满意度95分以上。    </w:t>
            </w:r>
            <w:r>
              <w:rPr>
                <w:rFonts w:hint="eastAsia" w:asciiTheme="minorEastAsia" w:hAnsiTheme="minorEastAsia" w:eastAsiaTheme="minorEastAsia" w:cstheme="minorEastAsia"/>
                <w:color w:val="FF0000"/>
                <w:szCs w:val="21"/>
              </w:rPr>
              <w:t xml:space="preserve">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以上目标指标2</w:t>
            </w:r>
            <w:r>
              <w:rPr>
                <w:rFonts w:asciiTheme="minorEastAsia" w:hAnsiTheme="minorEastAsia" w:eastAsiaTheme="minorEastAsia" w:cstheme="minorEastAsia"/>
                <w:szCs w:val="21"/>
              </w:rPr>
              <w:t>020</w:t>
            </w:r>
            <w:r>
              <w:rPr>
                <w:rFonts w:hint="eastAsia" w:asciiTheme="minorEastAsia" w:hAnsiTheme="minorEastAsia" w:eastAsiaTheme="minorEastAsia" w:cstheme="minorEastAsia"/>
                <w:szCs w:val="21"/>
              </w:rPr>
              <w:t>年度均已完成。</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提供《目标指标和管理方案》《目标指标和管理方案考核表》</w:t>
            </w:r>
          </w:p>
          <w:p>
            <w:pPr>
              <w:ind w:firstLine="420" w:firstLineChars="200"/>
            </w:pPr>
            <w:r>
              <w:rPr>
                <w:rFonts w:hint="eastAsia" w:asciiTheme="minorEastAsia" w:hAnsiTheme="minorEastAsia" w:eastAsiaTheme="minorEastAsia" w:cstheme="minorEastAsia"/>
                <w:szCs w:val="21"/>
              </w:rPr>
              <w:t>以上目标指标均已完成，管理方案规定了措施方法、完成时间表、责任人、资金等情况。详见各部门记录。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变更的策划</w:t>
            </w:r>
          </w:p>
        </w:tc>
        <w:tc>
          <w:tcPr>
            <w:tcW w:w="960" w:type="dxa"/>
            <w:vAlign w:val="center"/>
          </w:tcPr>
          <w:p>
            <w:r>
              <w:rPr>
                <w:rFonts w:hint="eastAsia"/>
                <w:b/>
              </w:rPr>
              <w:t>Q6.3</w:t>
            </w:r>
          </w:p>
        </w:tc>
        <w:tc>
          <w:tcPr>
            <w:tcW w:w="10004" w:type="dxa"/>
            <w:vAlign w:val="center"/>
          </w:tcPr>
          <w:p>
            <w:pPr>
              <w:ind w:firstLine="420" w:firstLineChars="200"/>
            </w:pPr>
          </w:p>
          <w:p>
            <w:pPr>
              <w:ind w:firstLine="420" w:firstLineChars="200"/>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pPr>
            <w:r>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pPr>
            <w:r>
              <w:rPr>
                <w:rFonts w:hint="eastAsia"/>
              </w:rPr>
              <w:t>体系运行平稳，至今未发生变更。</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r>
              <w:rPr>
                <w:rFonts w:hint="eastAsia"/>
                <w:b/>
              </w:rPr>
              <w:t>资源-总则</w:t>
            </w:r>
          </w:p>
        </w:tc>
        <w:tc>
          <w:tcPr>
            <w:tcW w:w="960" w:type="dxa"/>
            <w:vAlign w:val="center"/>
          </w:tcPr>
          <w:p>
            <w:pPr>
              <w:rPr>
                <w:b/>
              </w:rPr>
            </w:pPr>
            <w:r>
              <w:rPr>
                <w:b/>
              </w:rPr>
              <w:t>Q</w:t>
            </w:r>
          </w:p>
          <w:p>
            <w:r>
              <w:rPr>
                <w:b/>
              </w:rPr>
              <w:t>7.1.1</w:t>
            </w:r>
          </w:p>
        </w:tc>
        <w:tc>
          <w:tcPr>
            <w:tcW w:w="10004" w:type="dxa"/>
            <w:vAlign w:val="center"/>
          </w:tcPr>
          <w:p>
            <w:pPr>
              <w:rPr>
                <w:rFonts w:ascii="宋体" w:hAnsi="宋体"/>
                <w:szCs w:val="21"/>
              </w:rPr>
            </w:pPr>
            <w:r>
              <w:rPr>
                <w:rFonts w:hint="eastAsia" w:ascii="宋体" w:hAnsi="宋体"/>
                <w:szCs w:val="21"/>
              </w:rPr>
              <w:t>公司占地面积5000平米左右，车间面积2200平方米，办公区1000平米左右。</w:t>
            </w:r>
          </w:p>
          <w:p>
            <w:pPr>
              <w:rPr>
                <w:rFonts w:ascii="宋体" w:hAnsi="宋体"/>
                <w:szCs w:val="21"/>
              </w:rPr>
            </w:pPr>
            <w:r>
              <w:rPr>
                <w:rFonts w:hint="eastAsia" w:ascii="宋体" w:hAnsi="宋体"/>
                <w:szCs w:val="21"/>
              </w:rPr>
              <w:t>现主要工作人员57名，基本没有变化。</w:t>
            </w:r>
          </w:p>
          <w:p>
            <w:pPr>
              <w:rPr>
                <w:rFonts w:ascii="宋体" w:hAnsi="宋体"/>
                <w:szCs w:val="21"/>
              </w:rPr>
            </w:pPr>
            <w:r>
              <w:rPr>
                <w:rFonts w:hint="eastAsia" w:ascii="宋体" w:hAnsi="宋体"/>
                <w:szCs w:val="21"/>
              </w:rPr>
              <w:t>提供了《设备一览表》，共7类设备，共17台。</w:t>
            </w:r>
          </w:p>
          <w:p>
            <w:pPr>
              <w:rPr>
                <w:rFonts w:ascii="宋体" w:hAnsi="宋体"/>
                <w:szCs w:val="21"/>
              </w:rPr>
            </w:pPr>
            <w:r>
              <w:rPr>
                <w:rFonts w:hint="eastAsia" w:ascii="宋体" w:hAnsi="宋体"/>
                <w:szCs w:val="21"/>
              </w:rPr>
              <w:t>抽《设备一览表》：</w:t>
            </w:r>
          </w:p>
          <w:p>
            <w:pPr>
              <w:rPr>
                <w:rFonts w:ascii="宋体" w:hAnsi="宋体"/>
                <w:szCs w:val="21"/>
              </w:rPr>
            </w:pPr>
            <w:r>
              <w:rPr>
                <w:rFonts w:hint="eastAsia" w:ascii="宋体" w:hAnsi="宋体"/>
                <w:szCs w:val="21"/>
              </w:rPr>
              <w:t>生产设备有： 液压板料折弯机、 摇臂钻床剪板机、小蜜蜂切割机、角磨机、电焊机等</w:t>
            </w:r>
          </w:p>
          <w:p>
            <w:pPr>
              <w:pStyle w:val="2"/>
              <w:rPr>
                <w:rFonts w:ascii="宋体" w:hAnsi="宋体"/>
                <w:szCs w:val="21"/>
              </w:rPr>
            </w:pPr>
            <w:r>
              <w:rPr>
                <w:rFonts w:hint="eastAsia" w:ascii="宋体" w:hAnsi="宋体"/>
                <w:szCs w:val="21"/>
              </w:rPr>
              <w:t>特种设备：天车，有检验报告，见附件</w:t>
            </w:r>
          </w:p>
          <w:p>
            <w:pPr>
              <w:pStyle w:val="2"/>
              <w:rPr>
                <w:rFonts w:ascii="宋体" w:hAnsi="宋体"/>
                <w:szCs w:val="21"/>
              </w:rPr>
            </w:pPr>
            <w:r>
              <w:rPr>
                <w:rFonts w:hint="eastAsia" w:ascii="宋体" w:hAnsi="宋体"/>
                <w:szCs w:val="21"/>
              </w:rPr>
              <w:t>监视测量设备：弯尺、钢直尺等</w:t>
            </w:r>
          </w:p>
          <w:p>
            <w:pPr>
              <w:pStyle w:val="2"/>
              <w:rPr>
                <w:rFonts w:ascii="宋体" w:hAnsi="宋体"/>
                <w:szCs w:val="21"/>
              </w:rPr>
            </w:pPr>
            <w:r>
              <w:rPr>
                <w:rFonts w:hint="eastAsia" w:ascii="宋体" w:hAnsi="宋体"/>
                <w:szCs w:val="21"/>
              </w:rPr>
              <w:t>办公设备：电脑、打印机、复印机等</w:t>
            </w:r>
          </w:p>
          <w:p>
            <w:pPr>
              <w:rPr>
                <w:rFonts w:ascii="宋体" w:hAnsi="宋体"/>
                <w:szCs w:val="21"/>
              </w:rPr>
            </w:pPr>
            <w:r>
              <w:rPr>
                <w:rFonts w:hint="eastAsia" w:ascii="宋体" w:hAnsi="宋体"/>
                <w:szCs w:val="21"/>
              </w:rPr>
              <w:t>办公设备的日常维护，主要为局域网维护、灰尘清扫、电脑杀毒和一些设备的耗材更换。</w:t>
            </w:r>
          </w:p>
          <w:p>
            <w:pPr>
              <w:rPr>
                <w:rFonts w:ascii="宋体" w:hAnsi="宋体"/>
                <w:szCs w:val="21"/>
              </w:rPr>
            </w:pPr>
            <w:r>
              <w:rPr>
                <w:rFonts w:hint="eastAsia" w:ascii="宋体" w:hAnsi="宋体"/>
                <w:szCs w:val="21"/>
              </w:rPr>
              <w:t>基本能满足服务需要。</w:t>
            </w:r>
          </w:p>
          <w:p>
            <w:pPr>
              <w:pStyle w:val="2"/>
              <w:rPr>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绩效测量和监视</w:t>
            </w:r>
          </w:p>
        </w:tc>
        <w:tc>
          <w:tcPr>
            <w:tcW w:w="960" w:type="dxa"/>
            <w:vAlign w:val="center"/>
          </w:tcPr>
          <w:p>
            <w:pPr>
              <w:rPr>
                <w:b/>
              </w:rPr>
            </w:pPr>
            <w:r>
              <w:rPr>
                <w:rFonts w:hint="eastAsia"/>
                <w:b/>
              </w:rPr>
              <w:t>Q</w:t>
            </w:r>
          </w:p>
          <w:p>
            <w:pPr>
              <w:rPr>
                <w:b/>
              </w:rPr>
            </w:pPr>
            <w:r>
              <w:rPr>
                <w:rFonts w:hint="eastAsia"/>
                <w:b/>
              </w:rPr>
              <w:t>9.1.1</w:t>
            </w:r>
          </w:p>
          <w:p/>
        </w:tc>
        <w:tc>
          <w:tcPr>
            <w:tcW w:w="10004" w:type="dxa"/>
            <w:vAlign w:val="center"/>
          </w:tcPr>
          <w:p>
            <w:pPr>
              <w:ind w:firstLine="420" w:firstLineChars="200"/>
              <w:rPr>
                <w:rFonts w:asciiTheme="minorEastAsia" w:hAnsiTheme="minorEastAsia" w:eastAsiaTheme="minorEastAsia" w:cstheme="minorEastAsia"/>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》、《管理评审控制程序》，对体系的运行进行测量和监视； 编制了《顾客满意度控制程序》对销售服务及技术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提供两个季度的管理目标指标的检查考核工作，均完成目标考核要求。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查阅“环境和职业健康安全目标指标完成情况检查表”，体系建立至今共进行了两个季度的管理目标指标的检查考核工作，均完成目标考核要求。</w:t>
            </w:r>
          </w:p>
          <w:p>
            <w:pPr>
              <w:ind w:firstLine="420" w:firstLineChars="200"/>
            </w:pPr>
          </w:p>
        </w:tc>
        <w:tc>
          <w:tcPr>
            <w:tcW w:w="158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管理评审</w:t>
            </w:r>
          </w:p>
        </w:tc>
        <w:tc>
          <w:tcPr>
            <w:tcW w:w="960" w:type="dxa"/>
            <w:vAlign w:val="center"/>
          </w:tcPr>
          <w:p>
            <w:pPr>
              <w:rPr>
                <w:b/>
              </w:rPr>
            </w:pPr>
            <w:r>
              <w:rPr>
                <w:b/>
              </w:rPr>
              <w:t>Q</w:t>
            </w:r>
          </w:p>
          <w:p>
            <w:r>
              <w:rPr>
                <w:b/>
              </w:rPr>
              <w:t>9.3</w:t>
            </w:r>
          </w:p>
        </w:tc>
        <w:tc>
          <w:tcPr>
            <w:tcW w:w="10004" w:type="dxa"/>
            <w:vAlign w:val="center"/>
          </w:tcPr>
          <w:p>
            <w:pPr>
              <w:ind w:firstLine="420" w:firstLineChars="200"/>
              <w:jc w:val="left"/>
            </w:pPr>
            <w:r>
              <w:rPr>
                <w:rFonts w:hint="eastAsia"/>
              </w:rPr>
              <w:t>公司于202</w:t>
            </w:r>
            <w:r>
              <w:t>1</w:t>
            </w:r>
            <w:r>
              <w:rPr>
                <w:rFonts w:hint="eastAsia"/>
              </w:rPr>
              <w:t>年3月</w:t>
            </w:r>
            <w:r>
              <w:t>20</w:t>
            </w:r>
            <w:r>
              <w:rPr>
                <w:rFonts w:hint="eastAsia"/>
              </w:rPr>
              <w:t>日依据：GB/T19001-2016标准进行管理评审。</w:t>
            </w:r>
          </w:p>
          <w:p>
            <w:pPr>
              <w:ind w:firstLine="420" w:firstLineChars="200"/>
              <w:jc w:val="left"/>
            </w:pPr>
            <w:r>
              <w:rPr>
                <w:rFonts w:hint="eastAsia"/>
              </w:rPr>
              <w:t>目前正依据标准要求平稳运行，至今暂无变更情况发生。</w:t>
            </w:r>
          </w:p>
          <w:p>
            <w:r>
              <w:rPr>
                <w:rFonts w:hint="eastAsia"/>
              </w:rPr>
              <w:t>查阅公司管理评审资料：</w:t>
            </w:r>
          </w:p>
          <w:p>
            <w:r>
              <w:rPr>
                <w:rFonts w:hint="eastAsia"/>
              </w:rPr>
              <w:t>一、管理评审计划，评审时间</w:t>
            </w:r>
            <w:r>
              <w:rPr>
                <w:rFonts w:hint="eastAsia"/>
                <w:szCs w:val="22"/>
              </w:rPr>
              <w:t>：2020年3月25日</w:t>
            </w:r>
            <w:r>
              <w:rPr>
                <w:rFonts w:hint="eastAsia"/>
              </w:rPr>
              <w:t>日评审方式：会议评审</w:t>
            </w:r>
          </w:p>
          <w:p>
            <w:pPr>
              <w:rPr>
                <w:szCs w:val="22"/>
              </w:rPr>
            </w:pPr>
            <w:r>
              <w:rPr>
                <w:rFonts w:hint="eastAsia"/>
              </w:rPr>
              <w:t>参加人员</w:t>
            </w:r>
            <w:r>
              <w:rPr>
                <w:rFonts w:hint="eastAsia"/>
                <w:szCs w:val="22"/>
              </w:rPr>
              <w:t>：</w:t>
            </w:r>
          </w:p>
          <w:p>
            <w:pPr>
              <w:rPr>
                <w:szCs w:val="22"/>
              </w:rPr>
            </w:pPr>
            <w:r>
              <w:rPr>
                <w:rFonts w:hint="eastAsia"/>
                <w:szCs w:val="22"/>
              </w:rPr>
              <w:t>总经理</w:t>
            </w:r>
            <w:r>
              <w:rPr>
                <w:rFonts w:hint="eastAsia"/>
                <w:szCs w:val="22"/>
              </w:rPr>
              <w:tab/>
            </w:r>
            <w:r>
              <w:rPr>
                <w:rFonts w:hint="eastAsia"/>
                <w:szCs w:val="22"/>
              </w:rPr>
              <w:t xml:space="preserve">  </w:t>
            </w:r>
            <w:r>
              <w:rPr>
                <w:rFonts w:hint="eastAsia"/>
              </w:rPr>
              <w:t>陈永辉</w:t>
            </w:r>
          </w:p>
          <w:p>
            <w:r>
              <w:rPr>
                <w:rFonts w:hint="eastAsia"/>
                <w:szCs w:val="22"/>
              </w:rPr>
              <w:t>管理者代表</w:t>
            </w:r>
            <w:r>
              <w:rPr>
                <w:rFonts w:hint="eastAsia"/>
                <w:szCs w:val="22"/>
              </w:rPr>
              <w:tab/>
            </w:r>
            <w:r>
              <w:rPr>
                <w:rFonts w:hint="eastAsia"/>
                <w:szCs w:val="22"/>
              </w:rPr>
              <w:t xml:space="preserve">  </w:t>
            </w:r>
            <w:r>
              <w:rPr>
                <w:rFonts w:hint="eastAsia"/>
              </w:rPr>
              <w:t>陈雪娇、</w:t>
            </w:r>
            <w:r>
              <w:rPr>
                <w:rFonts w:hint="eastAsia"/>
                <w:szCs w:val="22"/>
              </w:rPr>
              <w:t>生技部、技术部经理</w:t>
            </w:r>
            <w:r>
              <w:rPr>
                <w:rFonts w:hint="eastAsia"/>
              </w:rPr>
              <w:t>等。计划中明确了评审内容和资料准备要求。</w:t>
            </w:r>
          </w:p>
          <w:p>
            <w:r>
              <w:rPr>
                <w:rFonts w:hint="eastAsia"/>
              </w:rPr>
              <w:t>二、管理评审输入：</w:t>
            </w:r>
          </w:p>
          <w:p>
            <w:pPr>
              <w:ind w:firstLine="420" w:firstLineChars="200"/>
            </w:pPr>
            <w:r>
              <w:rPr>
                <w:rFonts w:hint="eastAsia"/>
              </w:rPr>
              <w:t>上次管理评审跟踪，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pPr>
            <w:r>
              <w:rPr>
                <w:rFonts w:hint="eastAsia"/>
              </w:rPr>
              <w:t>以上内容可通过会上口头发言及工作总结、汇报等形式体现。</w:t>
            </w:r>
          </w:p>
          <w:p>
            <w:r>
              <w:rPr>
                <w:rFonts w:hint="eastAsia"/>
              </w:rPr>
              <w:t>三、查看“管理评审报告”，报告中对本次管理评审做了总结，评价了公司建立、运行管理体系的效果。</w:t>
            </w:r>
          </w:p>
          <w:p>
            <w:r>
              <w:rPr>
                <w:rFonts w:hint="eastAsia"/>
              </w:rPr>
              <w:t>四、管理评审输出/评审结论：</w:t>
            </w:r>
          </w:p>
          <w:p>
            <w:pPr>
              <w:ind w:firstLine="420" w:firstLineChars="200"/>
            </w:pPr>
            <w:r>
              <w:rPr>
                <w:rFonts w:hint="eastAsia"/>
              </w:rPr>
              <w:t>通过本次评审，最终得出本公司管理体系是适宜的、充分的、有效的，方针和目标是适宜的和有效的。但为了更好的运行体系，特提出以下要求：</w:t>
            </w:r>
          </w:p>
          <w:p>
            <w:r>
              <w:rPr>
                <w:rFonts w:hint="eastAsia"/>
              </w:rPr>
              <w:t>体系运行过程中全体人员都有责任对体系文件的不适宜之处提出修改建议，来进一步完善体系文件。</w:t>
            </w:r>
          </w:p>
          <w:p>
            <w:r>
              <w:rPr>
                <w:rFonts w:hint="eastAsia"/>
              </w:rPr>
              <w:t>管理评审改进决议：</w:t>
            </w:r>
          </w:p>
          <w:p>
            <w:pPr>
              <w:ind w:firstLine="420" w:firstLineChars="200"/>
            </w:pPr>
            <w:r>
              <w:rPr>
                <w:rFonts w:hint="eastAsia"/>
              </w:rPr>
              <w:t>在质量管理体系推行运作时，管理体系推行还存在不少待改进之处，主要有以下几点：</w:t>
            </w:r>
          </w:p>
          <w:p>
            <w:pPr>
              <w:rPr>
                <w:szCs w:val="22"/>
              </w:rPr>
            </w:pPr>
            <w:r>
              <w:rPr>
                <w:rFonts w:hint="eastAsia"/>
                <w:szCs w:val="22"/>
              </w:rPr>
              <w:t>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具备了申请第三方认证审核的条件，并应在此基础上不断改进向更高的目标迈进。</w:t>
            </w:r>
          </w:p>
          <w:p>
            <w:pPr>
              <w:rPr>
                <w:szCs w:val="22"/>
              </w:rPr>
            </w:pPr>
            <w:r>
              <w:rPr>
                <w:rFonts w:hint="eastAsia"/>
                <w:szCs w:val="22"/>
              </w:rPr>
              <w:t>此次管理评审提出技术人员数量不足，生产管理人员流动性大的问题，根据 管理评审改进指令稳定管理人员“到大中院校再招收应届毕业生一名，充实技术人员队伍”的要求，请你部门提出实施计划并执行。</w:t>
            </w:r>
          </w:p>
          <w:p>
            <w:pPr>
              <w:rPr>
                <w:szCs w:val="22"/>
              </w:rPr>
            </w:pPr>
            <w:r>
              <w:rPr>
                <w:rFonts w:hint="eastAsia"/>
                <w:szCs w:val="22"/>
              </w:rPr>
              <w:t>管理评审的实施标志着贯标认证各项工作取得了阶段性成果对此可以审请第三方监督审核 。</w:t>
            </w:r>
          </w:p>
          <w:p>
            <w:r>
              <w:rPr>
                <w:rFonts w:hint="eastAsia"/>
              </w:rPr>
              <w:t>责任部门：综合部，提供管理评审措施实施计划，可行。</w:t>
            </w:r>
          </w:p>
          <w:p>
            <w:r>
              <w:rPr>
                <w:rFonts w:hint="eastAsia"/>
              </w:rPr>
              <w:tab/>
            </w:r>
            <w:r>
              <w:rPr>
                <w:rFonts w:hint="eastAsia"/>
              </w:rPr>
              <w:t>202</w:t>
            </w:r>
            <w:r>
              <w:t>1</w:t>
            </w:r>
            <w:r>
              <w:rPr>
                <w:rFonts w:hint="eastAsia"/>
              </w:rPr>
              <w:t>年底完成，下次审核关注。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体系的运行现状及改进的要求</w:t>
            </w:r>
          </w:p>
        </w:tc>
        <w:tc>
          <w:tcPr>
            <w:tcW w:w="960" w:type="dxa"/>
            <w:vAlign w:val="center"/>
          </w:tcPr>
          <w:p>
            <w:pPr>
              <w:rPr>
                <w:b/>
              </w:rPr>
            </w:pPr>
            <w:r>
              <w:rPr>
                <w:rFonts w:hint="eastAsia"/>
                <w:b/>
              </w:rPr>
              <w:t>Q</w:t>
            </w:r>
          </w:p>
          <w:p>
            <w:pPr>
              <w:rPr>
                <w:b/>
              </w:rPr>
            </w:pPr>
            <w:r>
              <w:rPr>
                <w:rFonts w:hint="eastAsia"/>
                <w:b/>
              </w:rPr>
              <w:t>10.1</w:t>
            </w:r>
          </w:p>
          <w:p/>
        </w:tc>
        <w:tc>
          <w:tcPr>
            <w:tcW w:w="10004"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ind w:firstLine="420" w:firstLineChars="200"/>
            </w:pPr>
            <w:r>
              <w:rPr>
                <w:rFonts w:hint="eastAsia" w:asciiTheme="minorEastAsia" w:hAnsiTheme="minorEastAsia" w:eastAsiaTheme="minorEastAsia" w:cstheme="minorEastAsia"/>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持续改进</w:t>
            </w:r>
          </w:p>
        </w:tc>
        <w:tc>
          <w:tcPr>
            <w:tcW w:w="960" w:type="dxa"/>
            <w:vAlign w:val="center"/>
          </w:tcPr>
          <w:p>
            <w:pPr>
              <w:rPr>
                <w:b/>
              </w:rPr>
            </w:pPr>
            <w:r>
              <w:rPr>
                <w:b/>
              </w:rPr>
              <w:t>Q</w:t>
            </w:r>
          </w:p>
          <w:p>
            <w:r>
              <w:rPr>
                <w:b/>
              </w:rPr>
              <w:t>10.3</w:t>
            </w:r>
          </w:p>
        </w:tc>
        <w:tc>
          <w:tcPr>
            <w:tcW w:w="10004" w:type="dxa"/>
          </w:tcPr>
          <w:p>
            <w:pPr>
              <w:ind w:firstLine="420" w:firstLineChars="200"/>
            </w:pPr>
            <w:r>
              <w:rPr>
                <w:rFonts w:hint="eastAsia"/>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pPr>
            <w:r>
              <w:rPr>
                <w:rFonts w:hint="eastAsia"/>
              </w:rPr>
              <w:t>为确保公司提供给客户合格的产品和服务，公司开展检查和考核工作。</w:t>
            </w:r>
          </w:p>
          <w:p>
            <w:r>
              <w:rPr>
                <w:rFonts w:hint="eastAsia"/>
              </w:rPr>
              <w:t>根据不同过程、不同产品和不同要求，采取不同的方法进行监视、测量和分析。无其他不符合发生。</w:t>
            </w:r>
          </w:p>
          <w:p>
            <w:pPr>
              <w:ind w:firstLine="420" w:firstLineChars="200"/>
            </w:pPr>
            <w:r>
              <w:rPr>
                <w:rFonts w:hint="eastAsia"/>
              </w:rPr>
              <w:t>公司利用质量方针、目标、内审和外审、数据分析、纠正和预防措施以及管理评审，识别任何改进的机会，持续改进质量管理体系的适宜性、充分性和有效性。</w:t>
            </w:r>
          </w:p>
          <w:p>
            <w:pPr>
              <w:ind w:firstLine="420" w:firstLineChars="200"/>
            </w:pPr>
            <w:r>
              <w:rPr>
                <w:rFonts w:hint="eastAsia" w:asciiTheme="minorEastAsia" w:hAnsiTheme="minorEastAsia" w:eastAsiaTheme="minorEastAsia" w:cstheme="minorEastAsia"/>
                <w:szCs w:val="21"/>
              </w:rPr>
              <w:t>通过交谈，基本能清楚纠正和预防措施的控制要求。改进的示例包括纠正、纠正措施、持续改进、创新等。</w:t>
            </w:r>
          </w:p>
        </w:tc>
        <w:tc>
          <w:tcPr>
            <w:tcW w:w="1585" w:type="dxa"/>
          </w:tcPr>
          <w:p/>
        </w:tc>
      </w:tr>
    </w:tbl>
    <w:p>
      <w:r>
        <w:ptab w:relativeTo="margin" w:alignment="center" w:leader="none"/>
      </w:r>
    </w:p>
    <w:p/>
    <w:p/>
    <w:p>
      <w:pPr>
        <w:pStyle w:val="6"/>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entury">
    <w:altName w:val="Times New Roman"/>
    <w:panose1 w:val="02040604050505020304"/>
    <w:charset w:val="00"/>
    <w:family w:val="roman"/>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BC2A2"/>
    <w:multiLevelType w:val="singleLevel"/>
    <w:tmpl w:val="73FBC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1D50E8"/>
    <w:rsid w:val="002433E6"/>
    <w:rsid w:val="00337922"/>
    <w:rsid w:val="00340867"/>
    <w:rsid w:val="00380837"/>
    <w:rsid w:val="00410914"/>
    <w:rsid w:val="00536930"/>
    <w:rsid w:val="00564E53"/>
    <w:rsid w:val="00583277"/>
    <w:rsid w:val="00644FE2"/>
    <w:rsid w:val="0067640C"/>
    <w:rsid w:val="00695256"/>
    <w:rsid w:val="006E678B"/>
    <w:rsid w:val="007757F3"/>
    <w:rsid w:val="007E6AEB"/>
    <w:rsid w:val="007F39DD"/>
    <w:rsid w:val="008973EE"/>
    <w:rsid w:val="008C4E96"/>
    <w:rsid w:val="008E08A5"/>
    <w:rsid w:val="00971600"/>
    <w:rsid w:val="009973B4"/>
    <w:rsid w:val="009F7EED"/>
    <w:rsid w:val="00AB6AD7"/>
    <w:rsid w:val="00AF0AAB"/>
    <w:rsid w:val="00B509E4"/>
    <w:rsid w:val="00BF597E"/>
    <w:rsid w:val="00C51A36"/>
    <w:rsid w:val="00C55228"/>
    <w:rsid w:val="00CE315A"/>
    <w:rsid w:val="00D06F59"/>
    <w:rsid w:val="00D8388C"/>
    <w:rsid w:val="00EB0164"/>
    <w:rsid w:val="00ED0F62"/>
    <w:rsid w:val="00FA0833"/>
    <w:rsid w:val="03B37AA6"/>
    <w:rsid w:val="05316FFF"/>
    <w:rsid w:val="08EA3A47"/>
    <w:rsid w:val="10707F16"/>
    <w:rsid w:val="108219C2"/>
    <w:rsid w:val="175B1915"/>
    <w:rsid w:val="323162BC"/>
    <w:rsid w:val="38FC6FC4"/>
    <w:rsid w:val="4C403CD5"/>
    <w:rsid w:val="505A1B99"/>
    <w:rsid w:val="508B3554"/>
    <w:rsid w:val="5EA12B9A"/>
    <w:rsid w:val="60B368F4"/>
    <w:rsid w:val="60EB0A0C"/>
    <w:rsid w:val="64C76481"/>
    <w:rsid w:val="6AD877E0"/>
    <w:rsid w:val="7C1C1D44"/>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customStyle="1" w:styleId="11">
    <w:name w:val="Header Char"/>
    <w:basedOn w:val="10"/>
    <w:link w:val="7"/>
    <w:qFormat/>
    <w:uiPriority w:val="99"/>
    <w:rPr>
      <w:rFonts w:ascii="Times New Roman" w:hAnsi="Times New Roman" w:eastAsia="宋体" w:cs="Times New Roman"/>
      <w:sz w:val="18"/>
      <w:szCs w:val="18"/>
    </w:rPr>
  </w:style>
  <w:style w:type="character" w:customStyle="1" w:styleId="12">
    <w:name w:val="Footer Char"/>
    <w:basedOn w:val="10"/>
    <w:link w:val="6"/>
    <w:qFormat/>
    <w:uiPriority w:val="99"/>
    <w:rPr>
      <w:rFonts w:ascii="Times New Roman" w:hAnsi="Times New Roman" w:eastAsia="宋体" w:cs="Times New Roman"/>
      <w:sz w:val="18"/>
      <w:szCs w:val="18"/>
    </w:rPr>
  </w:style>
  <w:style w:type="character" w:customStyle="1" w:styleId="13">
    <w:name w:val="Balloon Text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13</Pages>
  <Words>1001</Words>
  <Characters>5707</Characters>
  <Lines>47</Lines>
  <Paragraphs>13</Paragraphs>
  <TotalTime>2</TotalTime>
  <ScaleCrop>false</ScaleCrop>
  <LinksUpToDate>false</LinksUpToDate>
  <CharactersWithSpaces>6695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2021-04-29T13:16:02Z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D6C4DFB62E1A4891B26B44F2E16460BD</vt:lpwstr>
  </property>
</Properties>
</file>