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b w:val="0"/>
          <w:bCs w:val="0"/>
          <w:sz w:val="21"/>
          <w:szCs w:val="21"/>
        </w:rPr>
        <w:t>0378-2021-QEO</w:t>
      </w:r>
      <w:bookmarkEnd w:id="0"/>
    </w:p>
    <w:p>
      <w:pPr>
        <w:snapToGrid w:val="0"/>
        <w:spacing w:afterLines="30"/>
        <w:jc w:val="center"/>
        <w:rPr>
          <w:rFonts w:ascii="楷体" w:hAnsi="楷体" w:eastAsia="楷体"/>
          <w:b/>
          <w:color w:val="000000" w:themeColor="text1"/>
          <w:sz w:val="28"/>
          <w:szCs w:val="28"/>
        </w:rPr>
      </w:pPr>
    </w:p>
    <w:p>
      <w:pPr>
        <w:snapToGrid w:val="0"/>
        <w:spacing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bCs/>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sz w:val="32"/>
          <w:szCs w:val="32"/>
          <w:u w:val="single"/>
          <w:lang w:eastAsia="zh-CN"/>
        </w:rPr>
        <w:t>九至（河北）教育科技有限公司</w:t>
      </w:r>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lang w:eastAsia="zh-CN"/>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1094"/>
        <w:gridCol w:w="1114"/>
        <w:gridCol w:w="1086"/>
        <w:gridCol w:w="1527"/>
        <w:gridCol w:w="726"/>
        <w:gridCol w:w="83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694"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831"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b/>
                <w:color w:val="000000" w:themeColor="text1"/>
                <w:sz w:val="20"/>
                <w:szCs w:val="20"/>
              </w:rPr>
              <w:t>010-5351 6258</w:t>
            </w:r>
          </w:p>
        </w:tc>
        <w:tc>
          <w:tcPr>
            <w:tcW w:w="726" w:type="dxa"/>
            <w:vAlign w:val="center"/>
          </w:tcPr>
          <w:p>
            <w:pPr>
              <w:rPr>
                <w:b/>
                <w:color w:val="000000" w:themeColor="text1"/>
                <w:sz w:val="20"/>
                <w:szCs w:val="20"/>
              </w:rPr>
            </w:pPr>
            <w:r>
              <w:rPr>
                <w:rFonts w:hint="eastAsia"/>
                <w:b/>
                <w:color w:val="000000" w:themeColor="text1"/>
                <w:sz w:val="20"/>
                <w:szCs w:val="20"/>
              </w:rPr>
              <w:t>邮箱</w:t>
            </w:r>
          </w:p>
        </w:tc>
        <w:tc>
          <w:tcPr>
            <w:tcW w:w="2472" w:type="dxa"/>
            <w:gridSpan w:val="2"/>
            <w:vAlign w:val="center"/>
          </w:tcPr>
          <w:p>
            <w:pPr>
              <w:rPr>
                <w:b/>
                <w:color w:val="000000" w:themeColor="text1"/>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44" w:type="dxa"/>
            <w:gridSpan w:val="2"/>
            <w:vAlign w:val="center"/>
          </w:tcPr>
          <w:p>
            <w:pPr>
              <w:spacing w:line="240" w:lineRule="exact"/>
              <w:jc w:val="both"/>
              <w:rPr>
                <w:b/>
                <w:bCs/>
                <w:color w:val="000000" w:themeColor="text1"/>
                <w:sz w:val="21"/>
                <w:szCs w:val="21"/>
              </w:rPr>
            </w:pPr>
            <w:r>
              <w:rPr>
                <w:rFonts w:hint="eastAsia"/>
                <w:b/>
                <w:bCs/>
                <w:sz w:val="21"/>
                <w:szCs w:val="21"/>
              </w:rPr>
              <w:t>姓名</w:t>
            </w:r>
          </w:p>
        </w:tc>
        <w:tc>
          <w:tcPr>
            <w:tcW w:w="1094" w:type="dxa"/>
            <w:vAlign w:val="center"/>
          </w:tcPr>
          <w:p>
            <w:pPr>
              <w:spacing w:line="240" w:lineRule="exact"/>
              <w:jc w:val="center"/>
              <w:rPr>
                <w:b/>
                <w:bCs/>
                <w:color w:val="000000" w:themeColor="text1"/>
                <w:sz w:val="21"/>
                <w:szCs w:val="21"/>
              </w:rPr>
            </w:pPr>
            <w:r>
              <w:rPr>
                <w:rFonts w:hint="eastAsia"/>
                <w:b/>
                <w:bCs/>
                <w:sz w:val="21"/>
                <w:szCs w:val="21"/>
              </w:rPr>
              <w:t>组内身份</w:t>
            </w:r>
          </w:p>
        </w:tc>
        <w:tc>
          <w:tcPr>
            <w:tcW w:w="1114" w:type="dxa"/>
            <w:vAlign w:val="center"/>
          </w:tcPr>
          <w:p>
            <w:pPr>
              <w:spacing w:line="240" w:lineRule="exact"/>
              <w:jc w:val="center"/>
              <w:rPr>
                <w:b/>
                <w:bCs/>
                <w:color w:val="000000" w:themeColor="text1"/>
                <w:sz w:val="21"/>
                <w:szCs w:val="21"/>
              </w:rPr>
            </w:pPr>
            <w:r>
              <w:rPr>
                <w:rFonts w:hint="eastAsia"/>
                <w:b/>
                <w:bCs/>
                <w:sz w:val="21"/>
                <w:szCs w:val="21"/>
              </w:rPr>
              <w:t>性别</w:t>
            </w:r>
          </w:p>
        </w:tc>
        <w:tc>
          <w:tcPr>
            <w:tcW w:w="3339" w:type="dxa"/>
            <w:gridSpan w:val="3"/>
            <w:vAlign w:val="center"/>
          </w:tcPr>
          <w:p>
            <w:pPr>
              <w:spacing w:line="240" w:lineRule="exact"/>
              <w:jc w:val="center"/>
              <w:rPr>
                <w:b/>
                <w:bCs/>
                <w:color w:val="000000" w:themeColor="text1"/>
                <w:sz w:val="21"/>
                <w:szCs w:val="21"/>
              </w:rPr>
            </w:pPr>
            <w:r>
              <w:rPr>
                <w:rFonts w:hint="eastAsia"/>
                <w:b/>
                <w:bCs/>
                <w:sz w:val="21"/>
                <w:szCs w:val="21"/>
              </w:rPr>
              <w:t>注册资格</w:t>
            </w:r>
          </w:p>
        </w:tc>
        <w:tc>
          <w:tcPr>
            <w:tcW w:w="2472" w:type="dxa"/>
            <w:gridSpan w:val="2"/>
            <w:vAlign w:val="center"/>
          </w:tcPr>
          <w:p>
            <w:pPr>
              <w:spacing w:line="240" w:lineRule="exact"/>
              <w:jc w:val="center"/>
              <w:rPr>
                <w:b/>
                <w:bCs/>
                <w:color w:val="000000" w:themeColor="text1"/>
                <w:sz w:val="21"/>
                <w:szCs w:val="21"/>
              </w:rPr>
            </w:pPr>
            <w:r>
              <w:rPr>
                <w:rFonts w:hint="eastAsia"/>
                <w:b/>
                <w:bCs/>
                <w:sz w:val="21"/>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109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114"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339" w:type="dxa"/>
            <w:gridSpan w:val="3"/>
            <w:vAlign w:val="center"/>
          </w:tcPr>
          <w:p>
            <w:pPr>
              <w:jc w:val="center"/>
              <w:rPr>
                <w:sz w:val="21"/>
                <w:szCs w:val="21"/>
              </w:rPr>
            </w:pPr>
            <w:r>
              <w:rPr>
                <w:sz w:val="21"/>
                <w:szCs w:val="21"/>
              </w:rPr>
              <w:t>Q:审核员</w:t>
            </w:r>
          </w:p>
          <w:p>
            <w:pPr>
              <w:jc w:val="center"/>
              <w:rPr>
                <w:sz w:val="21"/>
                <w:szCs w:val="21"/>
              </w:rPr>
            </w:pPr>
            <w:r>
              <w:rPr>
                <w:sz w:val="21"/>
                <w:szCs w:val="21"/>
              </w:rPr>
              <w:t>E:审核员</w:t>
            </w:r>
          </w:p>
          <w:p>
            <w:pPr>
              <w:jc w:val="center"/>
              <w:rPr>
                <w:rFonts w:ascii="Times New Roman" w:hAnsi="Times New Roman" w:eastAsia="宋体" w:cs="Times New Roman"/>
                <w:kern w:val="2"/>
                <w:sz w:val="21"/>
                <w:szCs w:val="21"/>
                <w:lang w:val="en-US" w:eastAsia="zh-CN" w:bidi="ar-SA"/>
              </w:rPr>
            </w:pPr>
            <w:r>
              <w:rPr>
                <w:sz w:val="21"/>
                <w:szCs w:val="21"/>
              </w:rPr>
              <w:t>O:审核员</w:t>
            </w:r>
          </w:p>
        </w:tc>
        <w:tc>
          <w:tcPr>
            <w:tcW w:w="2472" w:type="dxa"/>
            <w:gridSpan w:val="2"/>
            <w:vAlign w:val="center"/>
          </w:tcPr>
          <w:p>
            <w:pPr>
              <w:jc w:val="center"/>
              <w:rPr>
                <w:sz w:val="21"/>
                <w:szCs w:val="21"/>
              </w:rPr>
            </w:pPr>
            <w:r>
              <w:rPr>
                <w:sz w:val="21"/>
                <w:szCs w:val="21"/>
              </w:rPr>
              <w:t>Q:29.12.00</w:t>
            </w:r>
          </w:p>
          <w:p>
            <w:pPr>
              <w:jc w:val="center"/>
              <w:rPr>
                <w:sz w:val="21"/>
                <w:szCs w:val="21"/>
              </w:rPr>
            </w:pPr>
            <w:r>
              <w:rPr>
                <w:sz w:val="21"/>
                <w:szCs w:val="21"/>
              </w:rPr>
              <w:t>E:29.12.00</w:t>
            </w:r>
          </w:p>
          <w:p>
            <w:pPr>
              <w:jc w:val="center"/>
              <w:rPr>
                <w:rFonts w:hint="eastAsia" w:ascii="Times New Roman" w:hAnsi="Times New Roman" w:eastAsia="宋体" w:cs="Times New Roman"/>
                <w:kern w:val="2"/>
                <w:sz w:val="21"/>
                <w:szCs w:val="21"/>
                <w:lang w:val="en-US" w:eastAsia="zh-CN" w:bidi="ar-SA"/>
              </w:rPr>
            </w:pPr>
            <w:r>
              <w:rPr>
                <w:sz w:val="21"/>
                <w:szCs w:val="21"/>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徐红英</w:t>
            </w:r>
          </w:p>
        </w:tc>
        <w:tc>
          <w:tcPr>
            <w:tcW w:w="1094" w:type="dxa"/>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114" w:type="dxa"/>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女</w:t>
            </w:r>
          </w:p>
        </w:tc>
        <w:tc>
          <w:tcPr>
            <w:tcW w:w="3339" w:type="dxa"/>
            <w:gridSpan w:val="3"/>
            <w:vAlign w:val="center"/>
          </w:tcPr>
          <w:p>
            <w:pPr>
              <w:keepNext w:val="0"/>
              <w:keepLines w:val="0"/>
              <w:pageBreakBefore w:val="0"/>
              <w:widowControl w:val="0"/>
              <w:kinsoku/>
              <w:wordWrap/>
              <w:overflowPunct/>
              <w:topLinePunct w:val="0"/>
              <w:autoSpaceDE/>
              <w:autoSpaceDN/>
              <w:bidi w:val="0"/>
              <w:adjustRightInd/>
              <w:spacing w:line="320" w:lineRule="exact"/>
              <w:jc w:val="center"/>
              <w:rPr>
                <w:b w:val="0"/>
                <w:bCs w:val="0"/>
                <w:sz w:val="21"/>
                <w:szCs w:val="21"/>
              </w:rPr>
            </w:pPr>
            <w:r>
              <w:rPr>
                <w:b w:val="0"/>
                <w:bCs w:val="0"/>
                <w:sz w:val="21"/>
                <w:szCs w:val="21"/>
              </w:rPr>
              <w:t>Q:审核员</w:t>
            </w:r>
          </w:p>
          <w:p>
            <w:pPr>
              <w:keepNext w:val="0"/>
              <w:keepLines w:val="0"/>
              <w:pageBreakBefore w:val="0"/>
              <w:widowControl w:val="0"/>
              <w:kinsoku/>
              <w:wordWrap/>
              <w:overflowPunct/>
              <w:topLinePunct w:val="0"/>
              <w:autoSpaceDE/>
              <w:autoSpaceDN/>
              <w:bidi w:val="0"/>
              <w:adjustRightInd/>
              <w:spacing w:line="320" w:lineRule="exact"/>
              <w:jc w:val="center"/>
              <w:rPr>
                <w:b w:val="0"/>
                <w:bCs w:val="0"/>
                <w:sz w:val="21"/>
                <w:szCs w:val="21"/>
              </w:rPr>
            </w:pPr>
            <w:r>
              <w:rPr>
                <w:b w:val="0"/>
                <w:bCs w:val="0"/>
                <w:sz w:val="21"/>
                <w:szCs w:val="21"/>
              </w:rPr>
              <w:t>E:审核员</w:t>
            </w:r>
          </w:p>
          <w:p>
            <w:pPr>
              <w:keepNext w:val="0"/>
              <w:keepLines w:val="0"/>
              <w:pageBreakBefore w:val="0"/>
              <w:widowControl w:val="0"/>
              <w:kinsoku/>
              <w:wordWrap/>
              <w:overflowPunct/>
              <w:topLinePunct w:val="0"/>
              <w:autoSpaceDE/>
              <w:autoSpaceDN/>
              <w:bidi w:val="0"/>
              <w:adjustRightInd/>
              <w:spacing w:line="320" w:lineRule="exact"/>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472" w:type="dxa"/>
            <w:gridSpan w:val="2"/>
            <w:vAlign w:val="center"/>
          </w:tcPr>
          <w:p>
            <w:pPr>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1094" w:type="dxa"/>
            <w:vAlign w:val="center"/>
          </w:tcPr>
          <w:p>
            <w:pPr>
              <w:jc w:val="center"/>
              <w:rPr>
                <w:b/>
                <w:color w:val="000000" w:themeColor="text1"/>
                <w:sz w:val="20"/>
                <w:szCs w:val="20"/>
              </w:rPr>
            </w:pPr>
            <w:r>
              <w:rPr>
                <w:rFonts w:hint="eastAsia"/>
                <w:b/>
                <w:color w:val="000000" w:themeColor="text1"/>
                <w:sz w:val="20"/>
                <w:szCs w:val="20"/>
              </w:rPr>
              <w:t>性别</w:t>
            </w:r>
          </w:p>
        </w:tc>
        <w:tc>
          <w:tcPr>
            <w:tcW w:w="1114" w:type="dxa"/>
            <w:vAlign w:val="center"/>
          </w:tcPr>
          <w:p>
            <w:pPr>
              <w:jc w:val="center"/>
              <w:rPr>
                <w:b/>
                <w:color w:val="000000" w:themeColor="text1"/>
                <w:sz w:val="20"/>
                <w:szCs w:val="20"/>
              </w:rPr>
            </w:pPr>
            <w:r>
              <w:rPr>
                <w:rFonts w:hint="eastAsia"/>
                <w:b/>
                <w:color w:val="000000" w:themeColor="text1"/>
                <w:sz w:val="20"/>
                <w:szCs w:val="20"/>
              </w:rPr>
              <w:t>角色</w:t>
            </w:r>
          </w:p>
        </w:tc>
        <w:tc>
          <w:tcPr>
            <w:tcW w:w="3339" w:type="dxa"/>
            <w:gridSpan w:val="3"/>
            <w:vAlign w:val="center"/>
          </w:tcPr>
          <w:p>
            <w:pPr>
              <w:jc w:val="center"/>
              <w:rPr>
                <w:b/>
                <w:color w:val="000000" w:themeColor="text1"/>
                <w:sz w:val="20"/>
                <w:szCs w:val="20"/>
              </w:rPr>
            </w:pPr>
            <w:r>
              <w:rPr>
                <w:rFonts w:hint="eastAsia"/>
                <w:b/>
                <w:color w:val="000000" w:themeColor="text1"/>
                <w:sz w:val="20"/>
                <w:szCs w:val="20"/>
              </w:rPr>
              <w:t>工作单位</w:t>
            </w:r>
          </w:p>
        </w:tc>
        <w:tc>
          <w:tcPr>
            <w:tcW w:w="2472" w:type="dxa"/>
            <w:gridSpan w:val="2"/>
            <w:vAlign w:val="center"/>
          </w:tcPr>
          <w:p>
            <w:pPr>
              <w:jc w:val="cente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val="0"/>
                <w:bCs/>
                <w:color w:val="000000" w:themeColor="text1"/>
                <w:lang w:val="en-US" w:eastAsia="zh-CN"/>
              </w:rPr>
            </w:pPr>
            <w:r>
              <w:rPr>
                <w:rFonts w:hint="eastAsia"/>
                <w:b w:val="0"/>
                <w:bCs/>
                <w:color w:val="000000" w:themeColor="text1"/>
                <w:lang w:val="en-US" w:eastAsia="zh-CN"/>
              </w:rPr>
              <w:t>/</w:t>
            </w:r>
          </w:p>
        </w:tc>
        <w:tc>
          <w:tcPr>
            <w:tcW w:w="1094" w:type="dxa"/>
            <w:vAlign w:val="center"/>
          </w:tcPr>
          <w:p>
            <w:pPr>
              <w:jc w:val="center"/>
              <w:rPr>
                <w:b w:val="0"/>
                <w:bCs/>
                <w:color w:val="000000" w:themeColor="text1"/>
              </w:rPr>
            </w:pPr>
          </w:p>
        </w:tc>
        <w:tc>
          <w:tcPr>
            <w:tcW w:w="1114" w:type="dxa"/>
            <w:vAlign w:val="center"/>
          </w:tcPr>
          <w:p>
            <w:pPr>
              <w:jc w:val="center"/>
              <w:rPr>
                <w:b w:val="0"/>
                <w:bCs/>
                <w:color w:val="000000" w:themeColor="text1"/>
              </w:rPr>
            </w:pPr>
          </w:p>
        </w:tc>
        <w:tc>
          <w:tcPr>
            <w:tcW w:w="3339" w:type="dxa"/>
            <w:gridSpan w:val="3"/>
            <w:vAlign w:val="center"/>
          </w:tcPr>
          <w:p>
            <w:pPr>
              <w:rPr>
                <w:rFonts w:hint="eastAsia" w:eastAsia="宋体"/>
                <w:b w:val="0"/>
                <w:bCs/>
                <w:color w:val="000000" w:themeColor="text1"/>
                <w:lang w:eastAsia="zh-CN"/>
              </w:rPr>
            </w:pPr>
          </w:p>
        </w:tc>
        <w:tc>
          <w:tcPr>
            <w:tcW w:w="2472"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default" w:ascii="宋体" w:hAnsi="宋体" w:eastAsia="宋体"/>
          <w:b/>
          <w:color w:val="000000" w:themeColor="text1"/>
          <w:spacing w:val="-10"/>
          <w:sz w:val="20"/>
          <w:szCs w:val="20"/>
          <w:lang w:val="en-US" w:eastAsia="zh-CN"/>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19001:2016 idt ISO 9001:2015标准   不适用条款: </w:t>
      </w:r>
      <w:r>
        <w:rPr>
          <w:rFonts w:hint="eastAsia" w:ascii="宋体" w:hAnsi="宋体"/>
          <w:b/>
          <w:color w:val="000000" w:themeColor="text1"/>
          <w:spacing w:val="-10"/>
          <w:sz w:val="20"/>
          <w:szCs w:val="20"/>
          <w:lang w:val="en-US" w:eastAsia="zh-CN"/>
        </w:rPr>
        <w:t>8.3</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24001-2016 idt ISO 14001:2015标准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GB/T </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rPr>
        <w:t xml:space="preserve"> idt ISO45001：2018标准</w:t>
      </w:r>
    </w:p>
    <w:p>
      <w:pPr>
        <w:jc w:val="left"/>
        <w:rPr>
          <w:rFonts w:ascii="宋体" w:hAnsi="宋体"/>
          <w:b/>
          <w:color w:val="000000" w:themeColor="text1"/>
          <w:spacing w:val="-10"/>
          <w:sz w:val="20"/>
          <w:szCs w:val="20"/>
        </w:rPr>
      </w:pP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 xml:space="preserve"> 受审核方管理体系文件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适用的法律法规  □其他</w:t>
      </w:r>
    </w:p>
    <w:p>
      <w:pPr>
        <w:ind w:left="-850" w:leftChars="-405" w:firstLine="128" w:firstLineChars="49"/>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1676"/>
        <w:gridCol w:w="1080"/>
        <w:gridCol w:w="282"/>
        <w:gridCol w:w="1597"/>
        <w:gridCol w:w="396"/>
        <w:gridCol w:w="128"/>
        <w:gridCol w:w="541"/>
        <w:gridCol w:w="1016"/>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63"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635" w:type="dxa"/>
            <w:gridSpan w:val="4"/>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sz w:val="21"/>
                <w:szCs w:val="21"/>
                <w:lang w:eastAsia="zh-CN"/>
              </w:rPr>
              <w:t>九至（河北）教育科技有限公司</w:t>
            </w:r>
          </w:p>
        </w:tc>
        <w:tc>
          <w:tcPr>
            <w:tcW w:w="1065"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313" w:type="dxa"/>
            <w:gridSpan w:val="2"/>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t>河北省石家庄市新华区北新街8号九中家属院1-2-10</w:t>
            </w:r>
            <w:r>
              <w:rPr>
                <w:rFonts w:hint="eastAsia"/>
              </w:rPr>
              <w:t>2</w:t>
            </w:r>
          </w:p>
        </w:tc>
        <w:tc>
          <w:tcPr>
            <w:tcW w:w="1016"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邮编</w:t>
            </w:r>
          </w:p>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经营地址</w:t>
            </w:r>
          </w:p>
        </w:tc>
        <w:tc>
          <w:tcPr>
            <w:tcW w:w="5700" w:type="dxa"/>
            <w:gridSpan w:val="7"/>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asciiTheme="minorEastAsia" w:hAnsiTheme="minorEastAsia" w:eastAsiaTheme="minorEastAsia"/>
                <w:b w:val="0"/>
                <w:bCs w:val="0"/>
                <w:sz w:val="21"/>
                <w:szCs w:val="21"/>
              </w:rPr>
              <w:t>河北省石家庄市新华区市庄路37号院内119室</w:t>
            </w:r>
          </w:p>
        </w:tc>
        <w:tc>
          <w:tcPr>
            <w:tcW w:w="1016"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p>
        </w:tc>
        <w:tc>
          <w:tcPr>
            <w:tcW w:w="1297"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Times New Roman" w:eastAsia="宋体" w:cs="Times New Roman"/>
                <w:b/>
                <w:color w:val="000000"/>
                <w:kern w:val="2"/>
                <w:sz w:val="20"/>
                <w:szCs w:val="20"/>
                <w:lang w:val="en-US" w:eastAsia="zh-CN" w:bidi="ar-SA"/>
              </w:rPr>
            </w:pPr>
            <w:r>
              <w:rPr>
                <w:rFonts w:hint="eastAsia"/>
                <w:b w:val="0"/>
                <w:bCs w:val="0"/>
                <w:sz w:val="21"/>
                <w:szCs w:val="21"/>
                <w:lang w:val="en-US" w:eastAsia="zh-CN"/>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b w:val="0"/>
                <w:bCs w:val="0"/>
                <w:sz w:val="21"/>
                <w:szCs w:val="21"/>
              </w:rPr>
              <w:t>李达</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电话</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b w:val="0"/>
                <w:bCs w:val="0"/>
                <w:sz w:val="21"/>
                <w:szCs w:val="21"/>
              </w:rPr>
              <w:t>15188788569</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传真</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676"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cs="宋体"/>
                <w:color w:val="auto"/>
                <w:sz w:val="21"/>
                <w:szCs w:val="21"/>
                <w:lang w:val="en-US" w:eastAsia="zh-CN"/>
              </w:rPr>
              <w:t>李水畅</w:t>
            </w:r>
          </w:p>
        </w:tc>
        <w:tc>
          <w:tcPr>
            <w:tcW w:w="1362"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管理者代表</w:t>
            </w:r>
          </w:p>
        </w:tc>
        <w:tc>
          <w:tcPr>
            <w:tcW w:w="199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Times New Roman" w:eastAsia="宋体" w:cs="Times New Roman"/>
                <w:b/>
                <w:color w:val="000000"/>
                <w:kern w:val="2"/>
                <w:sz w:val="20"/>
                <w:szCs w:val="20"/>
                <w:lang w:val="en-US" w:eastAsia="zh-CN" w:bidi="ar-SA"/>
              </w:rPr>
            </w:pPr>
            <w:r>
              <w:rPr>
                <w:b w:val="0"/>
                <w:bCs w:val="0"/>
                <w:sz w:val="21"/>
                <w:szCs w:val="21"/>
              </w:rPr>
              <w:t>李达</w:t>
            </w:r>
          </w:p>
        </w:tc>
        <w:tc>
          <w:tcPr>
            <w:tcW w:w="669"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rFonts w:hint="eastAsia" w:ascii="宋体"/>
                <w:b/>
                <w:color w:val="000000"/>
                <w:sz w:val="20"/>
                <w:szCs w:val="20"/>
              </w:rPr>
              <w:t>邮箱</w:t>
            </w:r>
          </w:p>
        </w:tc>
        <w:tc>
          <w:tcPr>
            <w:tcW w:w="2313"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Times New Roman" w:eastAsia="宋体" w:cs="Times New Roman"/>
                <w:b/>
                <w:color w:val="000000"/>
                <w:kern w:val="2"/>
                <w:sz w:val="20"/>
                <w:szCs w:val="20"/>
                <w:lang w:val="en-US" w:eastAsia="zh-CN" w:bidi="ar-SA"/>
              </w:rPr>
            </w:pPr>
            <w:r>
              <w:rPr>
                <w:b w:val="0"/>
                <w:bCs w:val="0"/>
                <w:sz w:val="18"/>
                <w:szCs w:val="18"/>
              </w:rPr>
              <w:t>15188788569@139.com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申请的产品/</w:t>
            </w:r>
          </w:p>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8013" w:type="dxa"/>
            <w:gridSpan w:val="9"/>
          </w:tcPr>
          <w:p>
            <w:pPr>
              <w:keepNext w:val="0"/>
              <w:keepLines w:val="0"/>
              <w:pageBreakBefore w:val="0"/>
              <w:kinsoku/>
              <w:wordWrap/>
              <w:overflowPunct/>
              <w:topLinePunct w:val="0"/>
              <w:autoSpaceDE/>
              <w:autoSpaceDN/>
              <w:bidi w:val="0"/>
              <w:adjustRightInd/>
              <w:snapToGrid/>
              <w:spacing w:line="360" w:lineRule="exact"/>
              <w:textAlignment w:val="auto"/>
              <w:rPr>
                <w:rFonts w:hint="eastAsia" w:eastAsia="宋体"/>
                <w:sz w:val="21"/>
                <w:szCs w:val="21"/>
                <w:lang w:eastAsia="zh-CN"/>
              </w:rPr>
            </w:pPr>
            <w:bookmarkStart w:id="1" w:name="审核范围"/>
            <w:r>
              <w:rPr>
                <w:sz w:val="21"/>
                <w:szCs w:val="21"/>
              </w:rPr>
              <w:t>Q：</w:t>
            </w:r>
            <w:r>
              <w:rPr>
                <w:rFonts w:hint="eastAsia"/>
                <w:sz w:val="21"/>
                <w:szCs w:val="21"/>
                <w:lang w:eastAsia="zh-CN"/>
              </w:rPr>
              <w:t>教学设备、实验室设备、仪器仪表、教学用具、体育用品、乐器、教学模型、课桌椅、电子产品、多媒体设备的销售</w:t>
            </w:r>
          </w:p>
          <w:p>
            <w:pPr>
              <w:keepNext w:val="0"/>
              <w:keepLines w:val="0"/>
              <w:pageBreakBefore w:val="0"/>
              <w:kinsoku/>
              <w:wordWrap/>
              <w:overflowPunct/>
              <w:topLinePunct w:val="0"/>
              <w:autoSpaceDE/>
              <w:autoSpaceDN/>
              <w:bidi w:val="0"/>
              <w:adjustRightInd/>
              <w:snapToGrid/>
              <w:spacing w:line="360" w:lineRule="exact"/>
              <w:textAlignment w:val="auto"/>
              <w:rPr>
                <w:sz w:val="21"/>
                <w:szCs w:val="21"/>
              </w:rPr>
            </w:pPr>
            <w:r>
              <w:rPr>
                <w:sz w:val="21"/>
                <w:szCs w:val="21"/>
              </w:rPr>
              <w:t>E：</w:t>
            </w:r>
            <w:r>
              <w:rPr>
                <w:rFonts w:hint="eastAsia"/>
                <w:sz w:val="21"/>
                <w:szCs w:val="21"/>
                <w:lang w:eastAsia="zh-CN"/>
              </w:rPr>
              <w:t>教学设备、实验室设备、仪器仪表、教学用具、体育用品、乐器、教学模型、课桌椅、电子产品、多媒体设备的销售</w:t>
            </w:r>
            <w:r>
              <w:rPr>
                <w:sz w:val="21"/>
                <w:szCs w:val="21"/>
              </w:rPr>
              <w:t>及相关环境管理活动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u w:val="single"/>
                <w:lang w:val="en-GB"/>
              </w:rPr>
            </w:pPr>
            <w:r>
              <w:rPr>
                <w:sz w:val="21"/>
                <w:szCs w:val="21"/>
              </w:rPr>
              <w:t>O：</w:t>
            </w:r>
            <w:r>
              <w:rPr>
                <w:rFonts w:hint="eastAsia"/>
                <w:sz w:val="21"/>
                <w:szCs w:val="21"/>
                <w:lang w:eastAsia="zh-CN"/>
              </w:rPr>
              <w:t>教学设备、实验室设备、仪器仪表、教学用具、体育用品、乐器、教学模型、课桌椅、电子产品、多媒体设备的销售</w:t>
            </w:r>
            <w:r>
              <w:rPr>
                <w:sz w:val="21"/>
                <w:szCs w:val="21"/>
              </w:rPr>
              <w:t>及相关职业健康安全管理活动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bookmarkStart w:id="2" w:name="专业代码"/>
            <w:r>
              <w:rPr>
                <w:rFonts w:ascii="宋体"/>
                <w:b/>
                <w:color w:val="000000"/>
                <w:sz w:val="20"/>
                <w:szCs w:val="20"/>
              </w:rPr>
              <w:t>Q：</w:t>
            </w:r>
            <w:r>
              <w:rPr>
                <w:sz w:val="21"/>
                <w:szCs w:val="21"/>
              </w:rPr>
              <w:t>29.12.00</w:t>
            </w:r>
            <w:r>
              <w:rPr>
                <w:rFonts w:hint="eastAsia" w:ascii="宋体"/>
                <w:b/>
                <w:color w:val="000000"/>
                <w:sz w:val="20"/>
                <w:szCs w:val="20"/>
                <w:lang w:eastAsia="zh-CN"/>
              </w:rPr>
              <w:t>；</w:t>
            </w:r>
            <w:r>
              <w:rPr>
                <w:rFonts w:ascii="宋体"/>
                <w:b/>
                <w:color w:val="000000"/>
                <w:sz w:val="20"/>
                <w:szCs w:val="20"/>
              </w:rPr>
              <w:t>E：</w:t>
            </w:r>
            <w:r>
              <w:rPr>
                <w:sz w:val="21"/>
                <w:szCs w:val="21"/>
              </w:rPr>
              <w:t>29.12.00</w:t>
            </w:r>
            <w:r>
              <w:rPr>
                <w:rFonts w:hint="eastAsia" w:ascii="宋体"/>
                <w:b/>
                <w:color w:val="000000"/>
                <w:sz w:val="20"/>
                <w:szCs w:val="20"/>
                <w:lang w:eastAsia="zh-CN"/>
              </w:rPr>
              <w:t>；</w:t>
            </w:r>
            <w:r>
              <w:rPr>
                <w:rFonts w:ascii="宋体"/>
                <w:b/>
                <w:color w:val="000000"/>
                <w:sz w:val="20"/>
                <w:szCs w:val="20"/>
              </w:rPr>
              <w:t>O：</w:t>
            </w:r>
            <w:bookmarkEnd w:id="2"/>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b/>
                <w:color w:val="000000" w:themeColor="text1"/>
                <w:sz w:val="20"/>
                <w:szCs w:val="20"/>
              </w:rPr>
            </w:pPr>
            <w:r>
              <w:rPr>
                <w:rFonts w:hint="eastAsia" w:ascii="宋体" w:hAnsi="宋体"/>
                <w:b/>
                <w:color w:val="000000" w:themeColor="text1"/>
                <w:sz w:val="20"/>
                <w:szCs w:val="20"/>
              </w:rPr>
              <w:t>是否是一体化审核</w:t>
            </w:r>
          </w:p>
        </w:tc>
        <w:tc>
          <w:tcPr>
            <w:tcW w:w="8013" w:type="dxa"/>
            <w:gridSpan w:val="9"/>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56" w:type="dxa"/>
            <w:gridSpan w:val="2"/>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宋体" w:hAnsi="宋体" w:eastAsia="宋体"/>
                <w:b/>
                <w:color w:val="000000" w:themeColor="text1"/>
                <w:sz w:val="20"/>
                <w:szCs w:val="20"/>
                <w:lang w:val="en-US" w:eastAsia="zh-CN"/>
              </w:rPr>
            </w:pPr>
            <w:r>
              <w:rPr>
                <w:rFonts w:hint="eastAsia" w:ascii="宋体"/>
                <w:b/>
                <w:color w:val="000000"/>
                <w:sz w:val="20"/>
                <w:szCs w:val="20"/>
                <w:lang w:val="en-US" w:eastAsia="zh-CN"/>
              </w:rPr>
              <w:t>2020年10月10日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8013"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7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796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rPr>
              <w:t>管理层</w:t>
            </w:r>
          </w:p>
        </w:tc>
        <w:tc>
          <w:tcPr>
            <w:tcW w:w="7960" w:type="dxa"/>
            <w:vAlign w:val="center"/>
          </w:tcPr>
          <w:p>
            <w:pPr>
              <w:spacing w:line="240" w:lineRule="exact"/>
              <w:jc w:val="both"/>
              <w:rPr>
                <w:rFonts w:hint="default" w:ascii="宋体" w:hAnsi="宋体" w:eastAsia="宋体"/>
                <w:b/>
                <w:color w:val="000000" w:themeColor="text1"/>
                <w:spacing w:val="-20"/>
                <w:sz w:val="20"/>
                <w:szCs w:val="20"/>
                <w:u w:val="single"/>
                <w:lang w:val="en-US" w:eastAsia="zh-CN"/>
              </w:rPr>
            </w:pPr>
            <w:r>
              <w:rPr>
                <w:rFonts w:hint="default" w:ascii="Times New Roman" w:hAnsi="Times New Roman" w:eastAsia="宋体" w:cs="Times New Roman"/>
                <w:b w:val="0"/>
                <w:bCs/>
                <w:sz w:val="21"/>
                <w:szCs w:val="21"/>
                <w:lang w:val="en-US" w:eastAsia="zh-CN"/>
              </w:rPr>
              <w:t>QEO</w:t>
            </w:r>
            <w:r>
              <w:rPr>
                <w:rFonts w:hint="default" w:ascii="Times New Roman" w:hAnsi="Times New Roman" w:eastAsia="宋体" w:cs="Times New Roman"/>
                <w:b w:val="0"/>
                <w:bCs/>
                <w:sz w:val="21"/>
                <w:szCs w:val="21"/>
              </w:rPr>
              <w:t>4.1/4.2/4.3/4.4/5.1/5.2/5.3/6.1/6.2/7.1/9.1.1/9.3/10.1/10.3</w:t>
            </w:r>
            <w:r>
              <w:rPr>
                <w:rFonts w:hint="eastAsia" w:cs="Times New Roman"/>
                <w:b w:val="0"/>
                <w:bCs/>
                <w:sz w:val="21"/>
                <w:szCs w:val="21"/>
                <w:lang w:eastAsia="zh-CN"/>
              </w:rPr>
              <w:t>；</w:t>
            </w:r>
            <w:r>
              <w:rPr>
                <w:rFonts w:hint="eastAsia" w:cs="Times New Roman"/>
                <w:b w:val="0"/>
                <w:bCs/>
                <w:sz w:val="21"/>
                <w:szCs w:val="21"/>
                <w:lang w:val="en-US" w:eastAsia="zh-CN"/>
              </w:rPr>
              <w:t>Q6.3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hint="eastAsia" w:ascii="宋体" w:hAnsi="宋体" w:eastAsia="宋体"/>
                <w:b/>
                <w:color w:val="000000" w:themeColor="text1"/>
                <w:sz w:val="20"/>
                <w:szCs w:val="20"/>
                <w:lang w:eastAsia="zh-CN"/>
              </w:rPr>
            </w:pPr>
            <w:r>
              <w:rPr>
                <w:rFonts w:hint="eastAsia"/>
                <w:sz w:val="21"/>
                <w:szCs w:val="21"/>
                <w:lang w:val="en-US" w:eastAsia="zh-CN"/>
              </w:rPr>
              <w:t>办公室</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eastAsia" w:ascii="Times New Roman" w:hAnsi="Times New Roman" w:cs="Times New Roman"/>
                <w:sz w:val="21"/>
                <w:szCs w:val="21"/>
                <w:lang w:eastAsia="zh-CN"/>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7.2/7.3/7.4/7.5</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8.2/</w:t>
            </w:r>
            <w:r>
              <w:rPr>
                <w:rFonts w:hint="eastAsia" w:ascii="Times New Roman" w:hAnsi="Times New Roman" w:cs="Times New Roman"/>
                <w:sz w:val="21"/>
                <w:szCs w:val="21"/>
                <w:lang w:val="en-US" w:eastAsia="zh-CN"/>
              </w:rPr>
              <w:t>8.5.3/8.5.5/</w:t>
            </w:r>
            <w:r>
              <w:rPr>
                <w:rFonts w:hint="default" w:ascii="Times New Roman" w:hAnsi="Times New Roman" w:eastAsia="宋体" w:cs="Times New Roman"/>
                <w:sz w:val="21"/>
                <w:szCs w:val="21"/>
              </w:rPr>
              <w:t>9.</w:t>
            </w:r>
            <w:r>
              <w:rPr>
                <w:rFonts w:hint="eastAsia" w:cs="Times New Roman"/>
                <w:sz w:val="21"/>
                <w:szCs w:val="21"/>
                <w:lang w:val="en-US" w:eastAsia="zh-CN"/>
              </w:rPr>
              <w:t>2</w:t>
            </w:r>
            <w:r>
              <w:rPr>
                <w:rFonts w:hint="default" w:ascii="Times New Roman" w:hAnsi="Times New Roman" w:eastAsia="宋体" w:cs="Times New Roman"/>
                <w:sz w:val="21"/>
                <w:szCs w:val="21"/>
              </w:rPr>
              <w:t>/</w:t>
            </w:r>
            <w:r>
              <w:rPr>
                <w:rFonts w:hint="eastAsia" w:cs="Times New Roman"/>
                <w:sz w:val="21"/>
                <w:szCs w:val="21"/>
                <w:lang w:val="en-US" w:eastAsia="zh-CN"/>
              </w:rPr>
              <w:t>10.2</w:t>
            </w:r>
            <w:r>
              <w:rPr>
                <w:rFonts w:hint="eastAsia" w:ascii="Times New Roman" w:hAnsi="Times New Roman"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O5.3/6.2/</w:t>
            </w:r>
            <w:r>
              <w:rPr>
                <w:rFonts w:hint="default" w:ascii="Times New Roman" w:hAnsi="Times New Roman" w:eastAsia="宋体" w:cs="Times New Roman"/>
                <w:sz w:val="21"/>
                <w:szCs w:val="21"/>
              </w:rPr>
              <w:t>6.1.2/</w:t>
            </w:r>
            <w:r>
              <w:rPr>
                <w:rFonts w:hint="eastAsia" w:cs="Times New Roman"/>
                <w:sz w:val="21"/>
                <w:szCs w:val="21"/>
                <w:lang w:val="en-US" w:eastAsia="zh-CN"/>
              </w:rPr>
              <w:t>6.1.3/</w:t>
            </w:r>
            <w:r>
              <w:rPr>
                <w:rFonts w:hint="default" w:ascii="Times New Roman" w:hAnsi="Times New Roman" w:eastAsia="宋体" w:cs="Times New Roman"/>
                <w:sz w:val="21"/>
                <w:szCs w:val="21"/>
              </w:rPr>
              <w:t>7.2/7.3/7.4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7.5/8.1/8.2/9.1/9.2/10.2</w:t>
            </w:r>
            <w:r>
              <w:rPr>
                <w:rFonts w:hint="eastAsia" w:cs="Times New Roman"/>
                <w:sz w:val="21"/>
                <w:szCs w:val="21"/>
                <w:lang w:eastAsia="zh-CN"/>
              </w:rPr>
              <w:t>；</w:t>
            </w:r>
            <w:r>
              <w:rPr>
                <w:rFonts w:hint="eastAsia" w:cs="Times New Roman"/>
                <w:sz w:val="21"/>
                <w:szCs w:val="21"/>
                <w:lang w:val="en-US" w:eastAsia="zh-CN"/>
              </w:rPr>
              <w:t>O5.4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3" w:type="dxa"/>
            <w:vAlign w:val="center"/>
          </w:tcPr>
          <w:p>
            <w:pPr>
              <w:jc w:val="center"/>
              <w:rPr>
                <w:rFonts w:ascii="宋体" w:hAnsi="宋体"/>
                <w:b/>
                <w:color w:val="000000" w:themeColor="text1"/>
                <w:sz w:val="20"/>
                <w:szCs w:val="20"/>
              </w:rPr>
            </w:pPr>
            <w:r>
              <w:rPr>
                <w:rFonts w:hint="eastAsia"/>
                <w:sz w:val="21"/>
                <w:szCs w:val="21"/>
                <w:lang w:val="en-US" w:eastAsia="zh-CN"/>
              </w:rPr>
              <w:t>市场部</w:t>
            </w:r>
          </w:p>
        </w:tc>
        <w:tc>
          <w:tcPr>
            <w:tcW w:w="7960" w:type="dxa"/>
            <w:vAlign w:val="center"/>
          </w:tcPr>
          <w:p>
            <w:pPr>
              <w:keepNext w:val="0"/>
              <w:keepLines w:val="0"/>
              <w:pageBreakBefore w:val="0"/>
              <w:widowControl w:val="0"/>
              <w:kinsoku/>
              <w:wordWrap/>
              <w:overflowPunct/>
              <w:topLinePunct w:val="0"/>
              <w:autoSpaceDE/>
              <w:autoSpaceDN/>
              <w:bidi w:val="0"/>
              <w:spacing w:line="300" w:lineRule="exact"/>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/7.1.5/</w:t>
            </w:r>
            <w:r>
              <w:rPr>
                <w:rFonts w:hint="default" w:ascii="Times New Roman" w:hAnsi="Times New Roman" w:eastAsia="宋体" w:cs="Times New Roman"/>
                <w:sz w:val="21"/>
                <w:szCs w:val="21"/>
              </w:rPr>
              <w:t>8.1</w:t>
            </w:r>
            <w:r>
              <w:rPr>
                <w:rFonts w:hint="eastAsia" w:ascii="Times New Roman" w:hAnsi="Times New Roman" w:cs="Times New Roman"/>
                <w:sz w:val="21"/>
                <w:szCs w:val="21"/>
                <w:lang w:val="en-US" w:eastAsia="zh-CN"/>
              </w:rPr>
              <w:t>/8.2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/8.4/</w:t>
            </w:r>
            <w:r>
              <w:rPr>
                <w:rFonts w:hint="default" w:ascii="Times New Roman" w:hAnsi="Times New Roman" w:eastAsia="宋体" w:cs="Times New Roman"/>
                <w:sz w:val="21"/>
                <w:szCs w:val="21"/>
                <w:lang w:val="en-US" w:eastAsia="zh-CN"/>
              </w:rPr>
              <w:t>8.5/8.6/8.7</w:t>
            </w:r>
            <w:r>
              <w:rPr>
                <w:rFonts w:hint="eastAsia" w:ascii="Times New Roman" w:hAnsi="Times New Roman" w:cs="Times New Roman"/>
                <w:sz w:val="21"/>
                <w:szCs w:val="21"/>
                <w:lang w:val="en-US" w:eastAsia="zh-CN"/>
              </w:rPr>
              <w:t>/9.1.2/</w:t>
            </w:r>
          </w:p>
          <w:p>
            <w:pPr>
              <w:keepNext w:val="0"/>
              <w:keepLines w:val="0"/>
              <w:pageBreakBefore w:val="0"/>
              <w:widowControl w:val="0"/>
              <w:kinsoku/>
              <w:wordWrap/>
              <w:overflowPunct/>
              <w:topLinePunct w:val="0"/>
              <w:autoSpaceDE/>
              <w:autoSpaceDN/>
              <w:bidi w:val="0"/>
              <w:spacing w:line="300" w:lineRule="exact"/>
              <w:jc w:val="both"/>
              <w:textAlignment w:val="auto"/>
              <w:rPr>
                <w:rFonts w:ascii="宋体" w:hAnsi="宋体"/>
                <w:b/>
                <w:color w:val="000000" w:themeColor="text1"/>
                <w:spacing w:val="-20"/>
                <w:sz w:val="20"/>
                <w:szCs w:val="20"/>
                <w:u w:val="single"/>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1"/>
        <w:gridCol w:w="1343"/>
        <w:gridCol w:w="927"/>
        <w:gridCol w:w="4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4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27" w:type="dxa"/>
          </w:tcPr>
          <w:p>
            <w:pPr>
              <w:rPr>
                <w:b/>
                <w:color w:val="000000" w:themeColor="text1"/>
                <w:sz w:val="20"/>
                <w:szCs w:val="20"/>
              </w:rPr>
            </w:pPr>
            <w:r>
              <w:rPr>
                <w:rFonts w:hint="eastAsia"/>
                <w:b/>
                <w:color w:val="000000" w:themeColor="text1"/>
                <w:sz w:val="20"/>
                <w:szCs w:val="20"/>
              </w:rPr>
              <w:t>规格</w:t>
            </w:r>
          </w:p>
        </w:tc>
        <w:tc>
          <w:tcPr>
            <w:tcW w:w="407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1" w:type="dxa"/>
          </w:tcPr>
          <w:p>
            <w:pPr>
              <w:rPr>
                <w:rFonts w:hint="eastAsia" w:eastAsia="宋体"/>
                <w:b w:val="0"/>
                <w:bCs w:val="0"/>
                <w:color w:val="000000" w:themeColor="text1"/>
                <w:sz w:val="21"/>
                <w:szCs w:val="21"/>
                <w:lang w:eastAsia="zh-CN"/>
              </w:rPr>
            </w:pPr>
            <w:r>
              <w:rPr>
                <w:rFonts w:hint="eastAsia"/>
                <w:sz w:val="21"/>
                <w:szCs w:val="21"/>
                <w:lang w:eastAsia="zh-CN"/>
              </w:rPr>
              <w:t>教学设备、实验室设备、仪器仪表、教学用具、体育用品、乐器、教学模型、课桌椅、电子产品、多媒体设备的销售</w:t>
            </w:r>
          </w:p>
        </w:tc>
        <w:tc>
          <w:tcPr>
            <w:tcW w:w="1343"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销售</w:t>
            </w:r>
          </w:p>
        </w:tc>
        <w:tc>
          <w:tcPr>
            <w:tcW w:w="927" w:type="dxa"/>
            <w:vAlign w:val="top"/>
          </w:tcPr>
          <w:p>
            <w:pPr>
              <w:rPr>
                <w:rFonts w:hint="default"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c>
          <w:tcPr>
            <w:tcW w:w="4074" w:type="dxa"/>
            <w:vAlign w:val="top"/>
          </w:tcPr>
          <w:p>
            <w:pPr>
              <w:rPr>
                <w:rFonts w:hint="eastAsia" w:eastAsia="宋体"/>
                <w:b w:val="0"/>
                <w:bCs w:val="0"/>
                <w:color w:val="000000" w:themeColor="text1"/>
                <w:sz w:val="21"/>
                <w:szCs w:val="21"/>
                <w:lang w:val="en-US" w:eastAsia="zh-CN"/>
              </w:rPr>
            </w:pPr>
            <w:r>
              <w:rPr>
                <w:rFonts w:hint="eastAsia"/>
                <w:b w:val="0"/>
                <w:bCs w:val="0"/>
                <w:color w:val="000000" w:themeColor="text1"/>
                <w:sz w:val="21"/>
                <w:szCs w:val="21"/>
                <w:lang w:val="en-US"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bookmarkStart w:id="3"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rPr>
              <w:t>公司确定了与质量</w:t>
            </w:r>
            <w:r>
              <w:rPr>
                <w:rFonts w:hint="eastAsia"/>
                <w:lang w:eastAsia="zh-CN"/>
              </w:rPr>
              <w:t>环境职业健康安全</w:t>
            </w:r>
            <w:r>
              <w:rPr>
                <w:rFonts w:hint="eastAsia"/>
              </w:rPr>
              <w:t>管理体系有关的相关方包括顾客、政府机构、社区、股东、供应商、内部员工等。相关方对企业的要求有：遵守国家的现行法律法规、保持有效的资质、</w:t>
            </w:r>
            <w:r>
              <w:rPr>
                <w:rFonts w:hint="eastAsia"/>
                <w:lang w:val="en-US" w:eastAsia="zh-CN"/>
              </w:rPr>
              <w:t>办公服务过程</w:t>
            </w:r>
            <w:r>
              <w:rPr>
                <w:rFonts w:hint="eastAsia"/>
              </w:rPr>
              <w:t>节能环保，对环境无重大污染、</w:t>
            </w:r>
            <w:r>
              <w:rPr>
                <w:rFonts w:hint="eastAsia"/>
                <w:lang w:val="en-US" w:eastAsia="zh-CN"/>
              </w:rPr>
              <w:t>对员工进行体检</w:t>
            </w:r>
            <w:r>
              <w:rPr>
                <w:rFonts w:hint="eastAsia"/>
              </w:rPr>
              <w:t>、不断提高技术水平以及不断提高客户满意度等。</w:t>
            </w:r>
            <w:r>
              <w:rPr>
                <w:rFonts w:hint="eastAsia"/>
                <w:lang w:val="en-US" w:eastAsia="zh-CN"/>
              </w:rPr>
              <w:t>公司通过</w:t>
            </w:r>
            <w:r>
              <w:rPr>
                <w:rFonts w:hint="eastAsia"/>
              </w:rPr>
              <w:t>关注顾客需求，通过持续改进增强用户满意</w:t>
            </w:r>
            <w:r>
              <w:rPr>
                <w:rFonts w:hint="eastAsia"/>
                <w:lang w:eastAsia="zh-CN"/>
              </w:rPr>
              <w:t>；</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eastAsia="zh-CN"/>
              </w:rPr>
              <w:t>质量</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eastAsia="宋体"/>
                <w:lang w:val="en-US" w:eastAsia="zh-CN"/>
              </w:rPr>
            </w:pPr>
            <w: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keepNext w:val="0"/>
              <w:keepLines w:val="0"/>
              <w:pageBreakBefore w:val="0"/>
              <w:numPr>
                <w:ilvl w:val="0"/>
                <w:numId w:val="0"/>
              </w:numPr>
              <w:kinsoku/>
              <w:wordWrap/>
              <w:overflowPunct/>
              <w:topLinePunct w:val="0"/>
              <w:bidi w:val="0"/>
              <w:snapToGrid/>
              <w:spacing w:line="360" w:lineRule="exact"/>
              <w:ind w:leftChars="0"/>
              <w:textAlignment w:val="auto"/>
              <w:rPr>
                <w:rFonts w:hint="eastAsia" w:eastAsia="宋体"/>
                <w:b/>
                <w:color w:val="000000" w:themeColor="text1"/>
                <w:lang w:eastAsia="zh-CN"/>
              </w:rPr>
            </w:pPr>
            <w:r>
              <w:rPr>
                <w:rFonts w:hint="eastAsia"/>
              </w:rPr>
              <w:t>公司</w:t>
            </w:r>
            <w:r>
              <w:rPr>
                <w:rFonts w:hint="eastAsia"/>
                <w:lang w:val="en-US" w:eastAsia="zh-CN"/>
              </w:rPr>
              <w:t>编制</w:t>
            </w:r>
            <w:r>
              <w:rPr>
                <w:rFonts w:hint="eastAsia"/>
              </w:rPr>
              <w:t>《</w:t>
            </w:r>
            <w:r>
              <w:rPr>
                <w:rFonts w:ascii="宋体" w:hAnsi="宋体"/>
                <w:kern w:val="0"/>
                <w:szCs w:val="21"/>
              </w:rPr>
              <w:t>应对风险和机遇的措施表</w:t>
            </w:r>
            <w:r>
              <w:rPr>
                <w:rFonts w:hint="eastAsia"/>
              </w:rPr>
              <w:t>》，公司</w:t>
            </w:r>
            <w:r>
              <w:rPr>
                <w:rFonts w:hint="eastAsia"/>
                <w:lang w:val="en-US" w:eastAsia="zh-CN"/>
              </w:rPr>
              <w:t>分别从顾客需求、公司内部、适用的法律法规等方面</w:t>
            </w:r>
            <w:r>
              <w:rPr>
                <w:rFonts w:hint="eastAsia"/>
              </w:rPr>
              <w:t>识别了必要的风险和机遇，如：方针和目标变更的需求，</w:t>
            </w:r>
            <w:r>
              <w:rPr>
                <w:rFonts w:hint="eastAsia"/>
                <w:lang w:val="en-US" w:eastAsia="zh-CN"/>
              </w:rPr>
              <w:t>顾客需求</w:t>
            </w:r>
            <w:r>
              <w:rPr>
                <w:rFonts w:hint="eastAsia"/>
              </w:rPr>
              <w:t>变更，</w:t>
            </w:r>
            <w:r>
              <w:rPr>
                <w:rFonts w:hint="eastAsia"/>
                <w:lang w:val="en-US" w:eastAsia="zh-CN"/>
              </w:rPr>
              <w:t>服务方式变更</w:t>
            </w:r>
            <w:r>
              <w:rPr>
                <w:rFonts w:hint="eastAsia"/>
                <w:lang w:eastAsia="zh-CN"/>
              </w:rPr>
              <w:t>、</w:t>
            </w:r>
            <w:r>
              <w:rPr>
                <w:rFonts w:hint="eastAsia"/>
                <w:lang w:val="en-US" w:eastAsia="zh-CN"/>
              </w:rPr>
              <w:t>法律法规变更、外部环境（包括空气 水的变化）</w:t>
            </w:r>
            <w:r>
              <w:rPr>
                <w:rFonts w:hint="eastAsia"/>
              </w:rPr>
              <w:t>等风险，制定了相应的应对措施，制定了负责的部门和具体的实施方案，需要的资金和日程安排</w:t>
            </w:r>
            <w:r>
              <w:rPr>
                <w:rFonts w:hint="eastAsia"/>
                <w:lang w:val="en-US" w:eastAsia="zh-CN"/>
              </w:rPr>
              <w:t>等，</w:t>
            </w:r>
            <w:r>
              <w:rPr>
                <w:rFonts w:hint="eastAsia"/>
              </w:rPr>
              <w:t>如针对</w:t>
            </w:r>
            <w:r>
              <w:rPr>
                <w:rFonts w:hint="eastAsia"/>
                <w:lang w:eastAsia="zh-CN"/>
              </w:rPr>
              <w:t>顾客需求</w:t>
            </w:r>
            <w:r>
              <w:rPr>
                <w:rFonts w:hint="eastAsia"/>
              </w:rPr>
              <w:t>的变更，由</w:t>
            </w:r>
            <w:r>
              <w:rPr>
                <w:rFonts w:hint="eastAsia"/>
                <w:lang w:val="en-US" w:eastAsia="zh-CN"/>
              </w:rPr>
              <w:t>市场部</w:t>
            </w:r>
            <w:r>
              <w:rPr>
                <w:rFonts w:hint="eastAsia"/>
                <w:lang w:eastAsia="zh-CN"/>
              </w:rPr>
              <w:t>紧密与客户沟通</w:t>
            </w:r>
            <w:r>
              <w:rPr>
                <w:rFonts w:hint="eastAsia"/>
              </w:rPr>
              <w:t>，是否有更新的需求</w:t>
            </w:r>
            <w:r>
              <w:rPr>
                <w:rFonts w:hint="eastAsia"/>
                <w:lang w:eastAsia="zh-CN"/>
              </w:rPr>
              <w:t>，</w:t>
            </w:r>
            <w:r>
              <w:rPr>
                <w:rFonts w:hint="eastAsia"/>
                <w:lang w:val="en-US" w:eastAsia="zh-CN"/>
              </w:rPr>
              <w:t>经查</w:t>
            </w:r>
            <w:r>
              <w:rPr>
                <w:rFonts w:hint="eastAsia"/>
              </w:rPr>
              <w:t>暂无变更需求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sz w:val="21"/>
                <w:szCs w:val="21"/>
                <w:lang w:val="en-US" w:eastAsia="zh-CN"/>
              </w:rPr>
              <w:t>与顾客有关的过程；生产和服务提供过程；产品和服务的放行；</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u w:val="none"/>
                <w:lang w:val="en-US" w:eastAsia="zh-CN"/>
              </w:rPr>
              <w:t>销售服务</w:t>
            </w:r>
            <w:r>
              <w:rPr>
                <w:rFonts w:hint="eastAsia" w:ascii="宋体" w:hAnsi="宋体"/>
                <w:b w:val="0"/>
                <w:bCs/>
                <w:color w:val="000000" w:themeColor="text1"/>
                <w:sz w:val="20"/>
                <w:szCs w:val="20"/>
                <w:u w:val="none"/>
                <w:lang w:eastAsia="zh-CN"/>
              </w:rPr>
              <w:t>，</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宋体" w:hAnsi="宋体"/>
                <w:b w:val="0"/>
                <w:bCs/>
                <w:color w:val="000000" w:themeColor="text1"/>
                <w:sz w:val="20"/>
                <w:szCs w:val="20"/>
                <w:lang w:val="en-US" w:eastAsia="zh-CN"/>
              </w:rPr>
              <w:t>销售服务，</w:t>
            </w:r>
            <w:r>
              <w:rPr>
                <w:rFonts w:hint="eastAsia" w:ascii="宋体" w:hAnsi="宋体"/>
                <w:b/>
                <w:color w:val="000000" w:themeColor="text1"/>
                <w:sz w:val="20"/>
                <w:szCs w:val="20"/>
              </w:rPr>
              <w:t xml:space="preserve">  </w:t>
            </w:r>
          </w:p>
          <w:p>
            <w:pPr>
              <w:keepNext w:val="0"/>
              <w:keepLines w:val="0"/>
              <w:pageBreakBefore w:val="0"/>
              <w:tabs>
                <w:tab w:val="left" w:pos="540"/>
              </w:tabs>
              <w:kinsoku/>
              <w:wordWrap/>
              <w:overflowPunct/>
              <w:topLinePunct w:val="0"/>
              <w:bidi w:val="0"/>
              <w:snapToGrid/>
              <w:spacing w:line="360" w:lineRule="exact"/>
              <w:ind w:left="201" w:hanging="201" w:hangingChars="100"/>
              <w:textAlignment w:val="auto"/>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w:t>
            </w:r>
            <w:r>
              <w:rPr>
                <w:rFonts w:hint="default" w:ascii="Times New Roman" w:hAnsi="Times New Roman" w:cs="Times New Roman"/>
                <w:b w:val="0"/>
                <w:bCs/>
                <w:color w:val="000000" w:themeColor="text1"/>
                <w:sz w:val="21"/>
                <w:szCs w:val="21"/>
                <w:lang w:val="en-US" w:eastAsia="zh-CN"/>
              </w:rPr>
              <w:t>8.3</w:t>
            </w:r>
            <w:r>
              <w:rPr>
                <w:rFonts w:hint="eastAsia" w:ascii="宋体" w:hAnsi="宋体"/>
                <w:b/>
                <w:color w:val="000000" w:themeColor="text1"/>
                <w:sz w:val="20"/>
                <w:szCs w:val="20"/>
              </w:rPr>
              <w:t>，不适用理由：</w:t>
            </w:r>
            <w:r>
              <w:rPr>
                <w:rFonts w:hint="eastAsia"/>
                <w:b w:val="0"/>
                <w:bCs w:val="0"/>
                <w:sz w:val="21"/>
                <w:szCs w:val="21"/>
                <w:u w:val="none"/>
              </w:rPr>
              <w:t>公司产品和服务特点，</w:t>
            </w:r>
            <w:r>
              <w:rPr>
                <w:rFonts w:hint="eastAsia"/>
                <w:b w:val="0"/>
                <w:bCs w:val="0"/>
                <w:sz w:val="21"/>
                <w:szCs w:val="21"/>
                <w:u w:val="none"/>
                <w:lang w:eastAsia="zh-CN"/>
              </w:rPr>
              <w:t>产品依据国</w:t>
            </w:r>
            <w:r>
              <w:rPr>
                <w:rFonts w:hint="eastAsia"/>
                <w:b w:val="0"/>
                <w:bCs w:val="0"/>
                <w:sz w:val="21"/>
                <w:szCs w:val="21"/>
                <w:u w:val="none"/>
                <w:lang w:val="en-US" w:eastAsia="zh-CN"/>
              </w:rPr>
              <w:t>家法律法规</w:t>
            </w:r>
            <w:r>
              <w:rPr>
                <w:rFonts w:hint="eastAsia"/>
                <w:b w:val="0"/>
                <w:bCs w:val="0"/>
                <w:sz w:val="21"/>
                <w:szCs w:val="21"/>
                <w:u w:val="none"/>
                <w:lang w:eastAsia="zh-CN"/>
              </w:rPr>
              <w:t>、客户要求进行</w:t>
            </w:r>
            <w:r>
              <w:rPr>
                <w:rFonts w:hint="eastAsia"/>
                <w:b w:val="0"/>
                <w:bCs w:val="0"/>
                <w:sz w:val="21"/>
                <w:szCs w:val="21"/>
                <w:u w:val="none"/>
                <w:lang w:val="en-US" w:eastAsia="zh-CN"/>
              </w:rPr>
              <w:t>销售</w:t>
            </w:r>
            <w:r>
              <w:rPr>
                <w:rFonts w:hint="eastAsia"/>
                <w:b w:val="0"/>
                <w:bCs w:val="0"/>
                <w:sz w:val="21"/>
                <w:szCs w:val="21"/>
                <w:u w:val="none"/>
                <w:lang w:eastAsia="zh-CN"/>
              </w:rPr>
              <w:t>，</w:t>
            </w:r>
            <w:r>
              <w:rPr>
                <w:rFonts w:hint="eastAsia" w:ascii="Times New Roman" w:hAnsi="Times New Roman" w:cs="Times New Roman"/>
                <w:sz w:val="21"/>
                <w:szCs w:val="21"/>
                <w:lang w:val="en-US" w:eastAsia="zh-CN"/>
              </w:rPr>
              <w:t>服务流程成熟</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服务模式固定</w:t>
            </w:r>
            <w:r>
              <w:rPr>
                <w:rFonts w:hint="eastAsia"/>
                <w:b w:val="0"/>
                <w:bCs w:val="0"/>
                <w:sz w:val="21"/>
                <w:szCs w:val="21"/>
                <w:u w:val="none"/>
                <w:lang w:eastAsia="zh-CN"/>
              </w:rPr>
              <w:t>，无设计开发要求。</w:t>
            </w:r>
            <w:r>
              <w:rPr>
                <w:rFonts w:hint="eastAsia" w:ascii="宋体" w:hAnsi="宋体"/>
                <w:b w:val="0"/>
                <w:bCs w:val="0"/>
                <w:color w:val="000000" w:themeColor="text1"/>
                <w:sz w:val="20"/>
                <w:szCs w:val="20"/>
                <w:u w:val="non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pacing w:val="-8"/>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pacing w:val="-8"/>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pacing w:val="-8"/>
                <w:sz w:val="20"/>
                <w:szCs w:val="20"/>
                <w:lang w:eastAsia="zh-CN"/>
              </w:rPr>
            </w:pPr>
            <w:r>
              <w:rPr>
                <w:rFonts w:hint="eastAsia" w:ascii="宋体" w:hAnsi="宋体"/>
                <w:sz w:val="21"/>
                <w:szCs w:val="21"/>
                <w:lang w:val="en-US" w:eastAsia="zh-CN"/>
              </w:rPr>
              <w:t>办公室组织全体部门对所涉及的危险源进行识别，并评价出重大危险源，提供重大危险源评价记录，目前危险源识别基本完整，评价的</w:t>
            </w:r>
            <w:r>
              <w:rPr>
                <w:rFonts w:hint="eastAsia"/>
              </w:rPr>
              <w:t>不可接受风险</w:t>
            </w:r>
            <w:r>
              <w:rPr>
                <w:rFonts w:hint="eastAsia"/>
                <w:lang w:eastAsia="zh-CN"/>
              </w:rPr>
              <w:t>为</w:t>
            </w:r>
            <w:r>
              <w:rPr>
                <w:rFonts w:hint="eastAsia"/>
                <w:sz w:val="21"/>
                <w:szCs w:val="21"/>
              </w:rPr>
              <w:t>火灾、触电</w:t>
            </w:r>
            <w:r>
              <w:rPr>
                <w:rFonts w:hint="eastAsia"/>
                <w:sz w:val="21"/>
                <w:szCs w:val="21"/>
                <w:lang w:eastAsia="zh-CN"/>
              </w:rPr>
              <w:t>、</w:t>
            </w:r>
            <w:r>
              <w:rPr>
                <w:rFonts w:hint="eastAsia"/>
                <w:sz w:val="21"/>
                <w:szCs w:val="21"/>
                <w:lang w:val="en-US" w:eastAsia="zh-CN"/>
              </w:rPr>
              <w:t>意外伤害</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Cs w:val="21"/>
              </w:rPr>
            </w:pPr>
            <w:r>
              <w:rPr>
                <w:rFonts w:hint="eastAsia"/>
                <w:b/>
                <w:color w:val="000000" w:themeColor="text1"/>
                <w:szCs w:val="21"/>
                <w:lang w:val="en-US" w:eastAsia="zh-CN"/>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keepNext w:val="0"/>
              <w:keepLines w:val="0"/>
              <w:pageBreakBefore w:val="0"/>
              <w:numPr>
                <w:ilvl w:val="0"/>
                <w:numId w:val="3"/>
              </w:numPr>
              <w:tabs>
                <w:tab w:val="left" w:pos="540"/>
              </w:tabs>
              <w:kinsoku/>
              <w:wordWrap/>
              <w:overflowPunct/>
              <w:topLinePunct w:val="0"/>
              <w:bidi w:val="0"/>
              <w:snapToGrid/>
              <w:spacing w:line="360" w:lineRule="exact"/>
              <w:ind w:firstLineChars="0"/>
              <w:textAlignment w:val="auto"/>
              <w:rPr>
                <w:b/>
                <w:color w:val="000000" w:themeColor="text1"/>
                <w:sz w:val="14"/>
                <w:szCs w:val="14"/>
              </w:rPr>
            </w:pPr>
            <w:r>
              <w:rPr>
                <w:rFonts w:hint="eastAsia" w:ascii="宋体" w:hAnsi="宋体"/>
                <w:b/>
                <w:color w:val="000000" w:themeColor="text1"/>
                <w:szCs w:val="21"/>
              </w:rPr>
              <w:t>法律法规要求</w:t>
            </w:r>
            <w:r>
              <w:rPr>
                <w:rFonts w:hint="eastAsia" w:ascii="宋体" w:hAnsi="宋体"/>
                <w:b/>
                <w:color w:val="000000" w:themeColor="text1"/>
                <w:szCs w:val="21"/>
                <w:lang w:val="en-US" w:eastAsia="zh-CN"/>
              </w:rPr>
              <w:t>未及时更新，已开具不符合报告，要求限期整改。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Cs w:val="21"/>
                <w:lang w:val="en-US" w:eastAsia="zh-CN"/>
              </w:rPr>
              <w:t>9</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Times New Roman" w:hAnsi="Times New Roman" w:cs="宋体"/>
                <w:lang w:eastAsia="zh-CN"/>
              </w:rPr>
            </w:pPr>
            <w:r>
              <w:rPr>
                <w:rFonts w:hint="eastAsia" w:ascii="Times New Roman" w:hAnsi="Times New Roman" w:cs="宋体"/>
                <w:lang w:eastAsia="zh-CN"/>
              </w:rPr>
              <w:t>公司质量目标：1）产品交付合格率100%；2）顾客满意程度90%以上；</w:t>
            </w:r>
          </w:p>
          <w:p>
            <w:pPr>
              <w:rPr>
                <w:rFonts w:hint="eastAsia" w:ascii="Times New Roman" w:hAnsi="Times New Roman" w:cs="宋体"/>
                <w:lang w:eastAsia="zh-CN"/>
              </w:rPr>
            </w:pPr>
            <w:r>
              <w:rPr>
                <w:rFonts w:hint="eastAsia" w:ascii="Times New Roman" w:hAnsi="Times New Roman" w:cs="宋体"/>
                <w:lang w:eastAsia="zh-CN"/>
              </w:rPr>
              <w:t>公司环境目标指标：1）固体废弃物100％分类处置；2）杜绝火灾事故。</w:t>
            </w:r>
          </w:p>
          <w:p>
            <w:pPr>
              <w:rPr>
                <w:rFonts w:hint="eastAsia" w:ascii="Times New Roman" w:hAnsi="Times New Roman" w:cs="宋体"/>
                <w:lang w:eastAsia="zh-CN"/>
              </w:rPr>
            </w:pPr>
            <w:r>
              <w:rPr>
                <w:rFonts w:hint="eastAsia" w:ascii="Times New Roman" w:hAnsi="Times New Roman" w:cs="宋体"/>
                <w:lang w:eastAsia="zh-CN"/>
              </w:rPr>
              <w:t>公司职业健康安全指标：1）杜绝死亡、重伤事故、火灾事故；2）每年轻伤事故频率控制在3起以内</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ascii="Times New Roman" w:hAnsi="Times New Roman" w:cs="宋体"/>
                <w:lang w:val="en-US" w:eastAsia="zh-CN"/>
              </w:rPr>
              <w:t>季度</w:t>
            </w:r>
            <w:r>
              <w:rPr>
                <w:rFonts w:hint="eastAsia" w:ascii="Times New Roman" w:hAnsi="Times New Roman" w:cs="宋体"/>
              </w:rPr>
              <w:t>考核一次，</w:t>
            </w:r>
            <w:r>
              <w:rPr>
                <w:rFonts w:hint="eastAsia" w:cs="宋体"/>
                <w:lang w:val="en-US" w:eastAsia="zh-CN"/>
              </w:rPr>
              <w:t>查看</w:t>
            </w:r>
            <w:r>
              <w:rPr>
                <w:rFonts w:hint="eastAsia" w:ascii="Times New Roman" w:hAnsi="Times New Roman" w:cs="宋体"/>
                <w:lang w:val="en-US" w:eastAsia="zh-CN"/>
              </w:rPr>
              <w:t>20</w:t>
            </w:r>
            <w:r>
              <w:rPr>
                <w:rFonts w:hint="eastAsia" w:cs="宋体"/>
                <w:lang w:val="en-US" w:eastAsia="zh-CN"/>
              </w:rPr>
              <w:t>21</w:t>
            </w:r>
            <w:r>
              <w:rPr>
                <w:rFonts w:hint="eastAsia" w:ascii="Times New Roman" w:hAnsi="Times New Roman" w:cs="宋体"/>
                <w:lang w:val="en-US" w:eastAsia="zh-CN"/>
              </w:rPr>
              <w:t>年</w:t>
            </w:r>
            <w:r>
              <w:rPr>
                <w:rFonts w:hint="eastAsia" w:cs="宋体"/>
                <w:lang w:val="en-US" w:eastAsia="zh-CN"/>
              </w:rPr>
              <w:t>1</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10</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cs="宋体"/>
                <w:lang w:eastAsia="zh-CN"/>
              </w:rPr>
              <w:t>办公室</w:t>
            </w:r>
            <w:r>
              <w:rPr>
                <w:rFonts w:hint="eastAsia" w:ascii="Times New Roman" w:hAnsi="Times New Roman" w:cs="宋体"/>
              </w:rPr>
              <w:t>组织编写，总经理批准发布实施，</w:t>
            </w:r>
            <w:r>
              <w:rPr>
                <w:rFonts w:hint="eastAsia" w:cs="宋体"/>
                <w:lang w:eastAsia="zh-CN"/>
              </w:rPr>
              <w:t>办公室</w:t>
            </w:r>
            <w:r>
              <w:rPr>
                <w:rFonts w:hint="eastAsia" w:ascii="Times New Roman" w:hAnsi="Times New Roman" w:cs="宋体"/>
              </w:rPr>
              <w:t>打印传阅，公司文件柜存放，电子版本在电脑桌面上，每个人均可查阅。外来文件电子版本在电脑桌面上，每个人均可查阅。记录管理：</w:t>
            </w:r>
            <w:r>
              <w:rPr>
                <w:rFonts w:hint="eastAsia"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ascii="宋体" w:hAnsi="宋体"/>
                <w:b/>
                <w:color w:val="000000" w:themeColor="text1"/>
                <w:sz w:val="20"/>
                <w:szCs w:val="20"/>
                <w:lang w:val="en-US" w:eastAsia="zh-CN"/>
              </w:rPr>
              <w:t>1.</w:t>
            </w: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12</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2.</w:t>
            </w: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w:t>
            </w:r>
            <w:r>
              <w:rPr>
                <w:rFonts w:hint="eastAsia" w:ascii="宋体" w:hAnsi="宋体"/>
                <w:color w:val="000000"/>
                <w:spacing w:val="-10"/>
                <w:sz w:val="20"/>
                <w:szCs w:val="20"/>
                <w:lang w:val="en-US" w:eastAsia="zh-CN"/>
              </w:rPr>
              <w:t>电脑、一体机、电话等办公设备</w:t>
            </w:r>
            <w:r>
              <w:rPr>
                <w:rFonts w:hint="eastAsia"/>
                <w:sz w:val="21"/>
                <w:szCs w:val="21"/>
              </w:rPr>
              <w:t>，满足</w:t>
            </w:r>
            <w:r>
              <w:rPr>
                <w:rFonts w:hint="eastAsia"/>
                <w:sz w:val="21"/>
                <w:szCs w:val="21"/>
                <w:lang w:val="en-US" w:eastAsia="zh-CN"/>
              </w:rPr>
              <w:t>销售</w:t>
            </w:r>
            <w:r>
              <w:rPr>
                <w:rFonts w:hint="eastAsia"/>
                <w:sz w:val="21"/>
                <w:szCs w:val="21"/>
                <w:lang w:eastAsia="zh-CN"/>
              </w:rPr>
              <w:t>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3.</w:t>
            </w:r>
            <w:r>
              <w:rPr>
                <w:rFonts w:hint="eastAsia" w:ascii="宋体" w:hAnsi="宋体"/>
                <w:b/>
                <w:color w:val="000000" w:themeColor="text1"/>
                <w:sz w:val="20"/>
                <w:szCs w:val="20"/>
              </w:rPr>
              <w:t>过程运行环境</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hint="eastAsia"/>
                <w:sz w:val="21"/>
                <w:szCs w:val="21"/>
                <w:lang w:eastAsia="zh-CN"/>
              </w:rPr>
              <w:t>河北省石家庄市新华区市庄路37号院内119室</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区域面积</w:t>
            </w:r>
            <w:r>
              <w:rPr>
                <w:rFonts w:hint="eastAsia"/>
                <w:color w:val="auto"/>
                <w:sz w:val="21"/>
                <w:szCs w:val="21"/>
                <w:lang w:val="en-US" w:eastAsia="zh-CN"/>
              </w:rPr>
              <w:t>100平米</w:t>
            </w:r>
            <w:r>
              <w:rPr>
                <w:rFonts w:hint="eastAsia"/>
                <w:sz w:val="21"/>
                <w:szCs w:val="21"/>
                <w:lang w:val="en-US" w:eastAsia="zh-CN"/>
              </w:rPr>
              <w:t>，</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lang w:val="en-US" w:eastAsia="zh-CN"/>
              </w:rPr>
              <w:t>4.</w:t>
            </w:r>
            <w:r>
              <w:rPr>
                <w:rFonts w:hint="eastAsia" w:ascii="宋体" w:hAnsi="宋体"/>
                <w:b/>
                <w:color w:val="000000" w:themeColor="text1"/>
                <w:sz w:val="20"/>
                <w:szCs w:val="20"/>
              </w:rPr>
              <w:t>监视和测量资源</w:t>
            </w:r>
          </w:p>
          <w:p>
            <w:pPr>
              <w:keepNext w:val="0"/>
              <w:keepLines w:val="0"/>
              <w:pageBreakBefore w:val="0"/>
              <w:kinsoku/>
              <w:wordWrap/>
              <w:overflowPunct/>
              <w:topLinePunct w:val="0"/>
              <w:bidi w:val="0"/>
              <w:snapToGrid/>
              <w:spacing w:line="360" w:lineRule="exact"/>
              <w:textAlignment w:val="auto"/>
              <w:rPr>
                <w:rFonts w:hint="eastAsia" w:ascii="宋体" w:hAnsi="宋体"/>
                <w:b/>
                <w:color w:val="000000" w:themeColor="text1"/>
                <w:sz w:val="20"/>
                <w:szCs w:val="20"/>
              </w:rPr>
            </w:pPr>
            <w:r>
              <w:rPr>
                <w:rFonts w:hint="eastAsia"/>
                <w:sz w:val="21"/>
                <w:szCs w:val="21"/>
                <w:lang w:eastAsia="zh-CN"/>
              </w:rPr>
              <w:t>组织对服务质量进行检查、对顾客满意度进行调查，制定了对应表格</w:t>
            </w:r>
            <w:r>
              <w:rPr>
                <w:rFonts w:hint="eastAsia" w:ascii="宋体" w:hAnsi="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lang w:val="en-US" w:eastAsia="zh-CN"/>
              </w:rPr>
              <w:t>5.</w:t>
            </w:r>
            <w:r>
              <w:rPr>
                <w:rFonts w:hint="eastAsia" w:ascii="宋体" w:hAnsi="宋体"/>
                <w:b/>
                <w:color w:val="000000" w:themeColor="text1"/>
                <w:sz w:val="20"/>
                <w:szCs w:val="20"/>
              </w:rPr>
              <w:t>知识</w:t>
            </w:r>
          </w:p>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w:t>
            </w:r>
            <w:r>
              <w:rPr>
                <w:rFonts w:hint="eastAsia"/>
              </w:rPr>
              <w:t>产品质量法、合同法、</w:t>
            </w:r>
            <w:r>
              <w:rPr>
                <w:rFonts w:hint="eastAsia"/>
                <w:lang w:eastAsia="zh-CN"/>
              </w:rPr>
              <w:t>标准化法、招标投标</w:t>
            </w:r>
            <w:r>
              <w:rPr>
                <w:rFonts w:hint="eastAsia"/>
              </w:rPr>
              <w:t>法</w:t>
            </w:r>
            <w:r>
              <w:rPr>
                <w:rFonts w:hint="eastAsia"/>
                <w:lang w:eastAsia="zh-CN"/>
              </w:rPr>
              <w:t>、</w:t>
            </w:r>
            <w:r>
              <w:rPr>
                <w:rFonts w:hint="eastAsia"/>
                <w:lang w:val="en-US" w:eastAsia="zh-CN"/>
              </w:rPr>
              <w:t>劳动法、</w:t>
            </w:r>
            <w:r>
              <w:rPr>
                <w:rFonts w:hint="eastAsia"/>
                <w:color w:val="auto"/>
                <w:lang w:eastAsia="zh-CN"/>
              </w:rPr>
              <w:t>劳动合同法、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、劳动保护用品管理规定、GB/T 19000-2016《质量管理体系 基础和术语》、GB/T19001-2016《质量管理体系 要求》、GB/T24001-2016《环境管理体系 要求及使用指南》、</w:t>
            </w:r>
            <w:r>
              <w:rPr>
                <w:rFonts w:hint="eastAsia"/>
                <w:lang w:val="en-US" w:eastAsia="zh-CN"/>
              </w:rPr>
              <w:t>GB/T</w:t>
            </w:r>
            <w:r>
              <w:rPr>
                <w:rFonts w:hint="eastAsia"/>
              </w:rPr>
              <w:t>45001</w:t>
            </w:r>
            <w:r>
              <w:rPr>
                <w:rFonts w:hint="eastAsia"/>
                <w:lang w:val="en-US" w:eastAsia="zh-CN"/>
              </w:rPr>
              <w:t>-2020</w:t>
            </w:r>
            <w:r>
              <w:rPr>
                <w:rFonts w:hint="eastAsia"/>
              </w:rPr>
              <w:t>职业健康安全管理体系 要求及使用指南》</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6.</w:t>
            </w: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7.</w:t>
            </w: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bidi w:val="0"/>
              <w:snapToGrid/>
              <w:spacing w:line="360" w:lineRule="exact"/>
              <w:textAlignment w:val="auto"/>
              <w:rPr>
                <w:rFonts w:hint="eastAsia" w:eastAsia="宋体"/>
                <w:lang w:eastAsia="zh-CN"/>
              </w:rPr>
            </w:pPr>
            <w:r>
              <w:rPr>
                <w:rFonts w:hint="eastAsia" w:cs="宋体"/>
                <w:lang w:val="en-US" w:eastAsia="zh-CN"/>
              </w:rPr>
              <w:t>1.</w:t>
            </w:r>
            <w:r>
              <w:rPr>
                <w:rFonts w:hint="eastAsia" w:cs="宋体"/>
              </w:rPr>
              <w:t>管理方针：坚持产品质量第一，确保增进顾客满意；坚持遵守法律法规，实现环保安全目标；规范企业经营管理，持续改进管理体系</w:t>
            </w:r>
            <w:r>
              <w:rPr>
                <w:rFonts w:hint="eastAsia" w:cs="宋体"/>
                <w:szCs w:val="22"/>
              </w:rPr>
              <w:t>。</w:t>
            </w:r>
          </w:p>
          <w:p>
            <w:pPr>
              <w:keepNext w:val="0"/>
              <w:keepLines w:val="0"/>
              <w:pageBreakBefore w:val="0"/>
              <w:kinsoku/>
              <w:wordWrap/>
              <w:overflowPunct/>
              <w:topLinePunct w:val="0"/>
              <w:bidi w:val="0"/>
              <w:snapToGrid/>
              <w:spacing w:line="360" w:lineRule="exact"/>
              <w:textAlignment w:val="auto"/>
            </w:pPr>
            <w:r>
              <w:t>2.</w:t>
            </w:r>
            <w:r>
              <w:rPr>
                <w:rFonts w:hint="eastAsia" w:cs="宋体"/>
              </w:rPr>
              <w:t>管理方针与企业的经营宗旨相适应，协调；</w:t>
            </w:r>
          </w:p>
          <w:p>
            <w:pPr>
              <w:keepNext w:val="0"/>
              <w:keepLines w:val="0"/>
              <w:pageBreakBefore w:val="0"/>
              <w:kinsoku/>
              <w:wordWrap/>
              <w:overflowPunct/>
              <w:topLinePunct w:val="0"/>
              <w:bidi w:val="0"/>
              <w:snapToGrid/>
              <w:spacing w:line="360" w:lineRule="exact"/>
              <w:ind w:left="1"/>
              <w:textAlignment w:val="auto"/>
              <w:rPr>
                <w:rFonts w:hint="eastAsia"/>
                <w:b/>
                <w:color w:val="000000" w:themeColor="text1"/>
                <w:sz w:val="20"/>
                <w:szCs w:val="20"/>
              </w:rPr>
            </w:pPr>
            <w:r>
              <w:t>3.</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w:t>
            </w:r>
            <w:r>
              <w:rPr>
                <w:rFonts w:hint="eastAsia" w:ascii="宋体" w:hAnsi="宋体"/>
                <w:szCs w:val="21"/>
                <w:lang w:val="en-US" w:eastAsia="zh-CN"/>
              </w:rPr>
              <w:t>网络、</w:t>
            </w:r>
            <w:r>
              <w:rPr>
                <w:rFonts w:hint="eastAsia" w:ascii="宋体" w:hAnsi="宋体"/>
                <w:szCs w:val="21"/>
              </w:rPr>
              <w:t>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w:t>
            </w:r>
            <w:r>
              <w:rPr>
                <w:rFonts w:hint="eastAsia" w:ascii="宋体" w:hAnsi="宋体"/>
                <w:szCs w:val="21"/>
                <w:lang w:val="en-US" w:eastAsia="zh-CN"/>
              </w:rPr>
              <w:t>会议、</w:t>
            </w:r>
            <w:r>
              <w:rPr>
                <w:rFonts w:hint="eastAsia" w:ascii="宋体" w:hAnsi="宋体"/>
                <w:szCs w:val="21"/>
              </w:rPr>
              <w:t>电话、面谈、</w:t>
            </w:r>
            <w:r>
              <w:rPr>
                <w:rFonts w:hint="eastAsia" w:ascii="宋体" w:hAnsi="宋体"/>
                <w:szCs w:val="21"/>
                <w:lang w:val="en-US" w:eastAsia="zh-CN"/>
              </w:rPr>
              <w:t>网络</w:t>
            </w:r>
            <w:r>
              <w:rPr>
                <w:rFonts w:hint="eastAsia" w:ascii="宋体" w:hAnsi="宋体"/>
                <w:szCs w:val="21"/>
              </w:rPr>
              <w:t>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QMS 组织对重要过程实施控制的结果</w:t>
            </w:r>
          </w:p>
          <w:p>
            <w:pPr>
              <w:keepNext w:val="0"/>
              <w:keepLines w:val="0"/>
              <w:pageBreakBefore w:val="0"/>
              <w:kinsoku/>
              <w:wordWrap/>
              <w:overflowPunct/>
              <w:topLinePunct w:val="0"/>
              <w:bidi w:val="0"/>
              <w:snapToGrid/>
              <w:spacing w:line="360" w:lineRule="exact"/>
              <w:ind w:left="188" w:leftChars="42" w:hanging="100" w:hangingChars="50"/>
              <w:textAlignment w:val="auto"/>
              <w:rPr>
                <w:b/>
                <w:color w:val="000000" w:themeColor="text1"/>
                <w:sz w:val="20"/>
                <w:szCs w:val="20"/>
              </w:rPr>
            </w:pPr>
            <w:r>
              <w:rPr>
                <w:rFonts w:hint="eastAsia"/>
                <w:b/>
                <w:color w:val="000000" w:themeColor="text1"/>
                <w:sz w:val="20"/>
                <w:szCs w:val="20"/>
              </w:rPr>
              <w:t>(包括对QMS关键工序(过程)、特殊过程控制</w:t>
            </w:r>
            <w:r>
              <w:rPr>
                <w:rFonts w:hint="eastAsia"/>
                <w:b/>
                <w:color w:val="000000" w:themeColor="text1"/>
                <w:sz w:val="20"/>
                <w:szCs w:val="20"/>
                <w:lang w:eastAsia="zh-CN"/>
              </w:rPr>
              <w:t>；</w:t>
            </w:r>
            <w:r>
              <w:rPr>
                <w:rFonts w:hint="eastAsia"/>
                <w:b/>
                <w:color w:val="000000" w:themeColor="text1"/>
                <w:sz w:val="20"/>
                <w:szCs w:val="20"/>
              </w:rPr>
              <w:t>评价组织对过程实施控制情况)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w:t>
            </w:r>
            <w:r>
              <w:rPr>
                <w:rFonts w:hint="eastAsia"/>
                <w:sz w:val="21"/>
                <w:szCs w:val="21"/>
                <w:lang w:val="en-US" w:eastAsia="zh-CN"/>
              </w:rPr>
              <w:t>与顾客有关过程的控制</w:t>
            </w:r>
            <w:r>
              <w:rPr>
                <w:rFonts w:hint="eastAsia"/>
                <w:sz w:val="21"/>
                <w:szCs w:val="21"/>
              </w:rPr>
              <w:t>：主要根据顾客提出的产品</w:t>
            </w:r>
            <w:r>
              <w:rPr>
                <w:rFonts w:hint="eastAsia"/>
                <w:sz w:val="21"/>
                <w:szCs w:val="21"/>
                <w:lang w:val="en-US" w:eastAsia="zh-CN"/>
              </w:rPr>
              <w:t>和服务</w:t>
            </w:r>
            <w:r>
              <w:rPr>
                <w:rFonts w:hint="eastAsia"/>
                <w:sz w:val="21"/>
                <w:szCs w:val="21"/>
              </w:rPr>
              <w:t>要求/标书中明示要求等进行控制，要求进行合同评审确保能满足客户需求，</w:t>
            </w:r>
            <w:r>
              <w:rPr>
                <w:rFonts w:hint="eastAsia" w:ascii="宋体" w:hAnsi="宋体"/>
                <w:color w:val="auto"/>
                <w:kern w:val="2"/>
                <w:sz w:val="21"/>
                <w:szCs w:val="21"/>
                <w:lang w:eastAsia="zh-CN" w:bidi="ar-SA"/>
              </w:rPr>
              <w:t>在签订正式合同前，由</w:t>
            </w:r>
            <w:r>
              <w:rPr>
                <w:rFonts w:hint="eastAsia" w:ascii="宋体" w:hAnsi="宋体"/>
                <w:color w:val="auto"/>
                <w:kern w:val="2"/>
                <w:sz w:val="21"/>
                <w:szCs w:val="21"/>
                <w:lang w:val="en-US" w:eastAsia="zh-CN" w:bidi="ar-SA"/>
              </w:rPr>
              <w:t>市场部</w:t>
            </w:r>
            <w:r>
              <w:rPr>
                <w:rFonts w:hint="eastAsia" w:ascii="宋体" w:hAnsi="宋体"/>
                <w:color w:val="auto"/>
                <w:kern w:val="2"/>
                <w:sz w:val="21"/>
                <w:szCs w:val="21"/>
                <w:lang w:eastAsia="zh-CN" w:bidi="ar-SA"/>
              </w:rPr>
              <w:t>组织进行合同评审，</w:t>
            </w:r>
            <w:r>
              <w:rPr>
                <w:rFonts w:hint="eastAsia" w:ascii="宋体" w:hAnsi="宋体"/>
                <w:color w:val="auto"/>
                <w:kern w:val="2"/>
                <w:sz w:val="21"/>
                <w:szCs w:val="21"/>
                <w:lang w:val="en-US" w:eastAsia="zh-CN" w:bidi="ar-SA"/>
              </w:rPr>
              <w:t>目前控制情况符合要求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w:t>
            </w:r>
            <w:r>
              <w:rPr>
                <w:rFonts w:hint="eastAsia"/>
                <w:sz w:val="21"/>
                <w:szCs w:val="21"/>
                <w:lang w:val="en-US" w:eastAsia="zh-CN"/>
              </w:rPr>
              <w:t>主要采购厨房用具、餐桌餐椅、炊事机械、酒店用品（国家专控除外）、制冷设备、空气净化设备、净水设备、不锈钢制品、油烟净化设备、消毒设备、通风设备，</w:t>
            </w:r>
            <w:r>
              <w:rPr>
                <w:rFonts w:hint="eastAsia"/>
                <w:sz w:val="21"/>
                <w:szCs w:val="21"/>
              </w:rPr>
              <w:t>编制采购产品验收规范等作业文件规定采购产品质量要求；其次对供方进行了评价，</w:t>
            </w:r>
            <w:r>
              <w:rPr>
                <w:rFonts w:hint="eastAsia"/>
                <w:sz w:val="21"/>
                <w:szCs w:val="21"/>
                <w:lang w:val="en-US" w:eastAsia="zh-CN"/>
              </w:rPr>
              <w:t>未提供对外包方进行评价的证据</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sz w:val="21"/>
                <w:szCs w:val="21"/>
                <w:lang w:val="en-US" w:eastAsia="zh-CN"/>
              </w:rPr>
              <w:t>的控制</w:t>
            </w:r>
            <w:r>
              <w:rPr>
                <w:rFonts w:hint="eastAsia"/>
                <w:sz w:val="21"/>
                <w:szCs w:val="21"/>
              </w:rPr>
              <w:t>：</w:t>
            </w:r>
            <w:r>
              <w:rPr>
                <w:rFonts w:hint="eastAsia" w:ascii="宋体" w:hAnsi="宋体"/>
                <w:sz w:val="21"/>
                <w:szCs w:val="21"/>
                <w:lang w:val="en-US" w:eastAsia="zh-CN"/>
              </w:rPr>
              <w:t>根据国家法律法规要求、顾客要求，编制了《</w:t>
            </w:r>
            <w:r>
              <w:rPr>
                <w:rFonts w:hint="eastAsia" w:ascii="宋体" w:hAnsi="宋体"/>
                <w:color w:val="000000"/>
                <w:szCs w:val="21"/>
              </w:rPr>
              <w:t>与顾客有关的过程控制程序</w:t>
            </w:r>
            <w:r>
              <w:rPr>
                <w:rFonts w:hint="eastAsia" w:ascii="宋体" w:hAnsi="宋体"/>
                <w:sz w:val="21"/>
                <w:szCs w:val="21"/>
                <w:lang w:val="en-US" w:eastAsia="zh-CN"/>
              </w:rPr>
              <w:t>》、《</w:t>
            </w:r>
            <w:r>
              <w:rPr>
                <w:rFonts w:hint="eastAsia" w:ascii="宋体" w:hAnsi="宋体"/>
                <w:color w:val="000000"/>
                <w:szCs w:val="21"/>
              </w:rPr>
              <w:t>服务过程控制程序</w:t>
            </w:r>
            <w:r>
              <w:rPr>
                <w:rFonts w:hint="eastAsia" w:ascii="宋体" w:hAnsi="宋体"/>
                <w:sz w:val="21"/>
                <w:szCs w:val="21"/>
                <w:lang w:val="en-US" w:eastAsia="zh-CN"/>
              </w:rPr>
              <w:t>》、《</w:t>
            </w:r>
            <w:r>
              <w:rPr>
                <w:rFonts w:hint="eastAsia" w:ascii="宋体" w:hAnsi="宋体"/>
                <w:color w:val="000000"/>
                <w:spacing w:val="4"/>
                <w:szCs w:val="21"/>
              </w:rPr>
              <w:t>顾客满意管理程序</w:t>
            </w:r>
            <w:r>
              <w:rPr>
                <w:rFonts w:hint="eastAsia" w:ascii="宋体" w:hAnsi="宋体"/>
                <w:color w:val="000000"/>
                <w:spacing w:val="4"/>
                <w:szCs w:val="21"/>
                <w:lang w:eastAsia="zh-CN"/>
              </w:rPr>
              <w:t>》</w:t>
            </w:r>
            <w:r>
              <w:rPr>
                <w:rFonts w:hint="eastAsia" w:ascii="宋体" w:hAnsi="宋体"/>
                <w:sz w:val="21"/>
                <w:szCs w:val="21"/>
                <w:lang w:val="en-US" w:eastAsia="zh-CN"/>
              </w:rPr>
              <w:t>《</w:t>
            </w:r>
            <w:r>
              <w:rPr>
                <w:rFonts w:hint="eastAsia"/>
                <w:sz w:val="21"/>
                <w:szCs w:val="21"/>
              </w:rPr>
              <w:t>各部门岗位职责和工作标准</w:t>
            </w:r>
            <w:r>
              <w:rPr>
                <w:rFonts w:hint="eastAsia"/>
                <w:sz w:val="21"/>
                <w:szCs w:val="21"/>
                <w:lang w:eastAsia="zh-CN"/>
              </w:rPr>
              <w:t>》、《</w:t>
            </w:r>
            <w:r>
              <w:rPr>
                <w:rFonts w:hint="eastAsia"/>
                <w:sz w:val="21"/>
                <w:szCs w:val="21"/>
                <w:lang w:val="en-US" w:eastAsia="zh-CN"/>
              </w:rPr>
              <w:t>回款制度》，由项目负责人组织人员、物资等资源进行销售服务，</w:t>
            </w:r>
            <w:r>
              <w:rPr>
                <w:rFonts w:hint="eastAsia" w:ascii="宋体" w:hAnsi="宋体"/>
                <w:sz w:val="21"/>
                <w:szCs w:val="21"/>
              </w:rPr>
              <w:t>通过</w:t>
            </w:r>
            <w:r>
              <w:rPr>
                <w:rFonts w:hint="eastAsia" w:ascii="宋体" w:hAnsi="宋体"/>
                <w:sz w:val="21"/>
                <w:szCs w:val="21"/>
                <w:lang w:val="en-US" w:eastAsia="zh-CN"/>
              </w:rPr>
              <w:t>服务流程</w:t>
            </w:r>
            <w:r>
              <w:rPr>
                <w:rFonts w:hint="eastAsia" w:ascii="宋体" w:hAnsi="宋体"/>
                <w:sz w:val="21"/>
                <w:szCs w:val="21"/>
              </w:rPr>
              <w:t>表</w:t>
            </w:r>
            <w:r>
              <w:rPr>
                <w:rFonts w:hint="eastAsia" w:ascii="宋体" w:hAnsi="宋体"/>
                <w:sz w:val="21"/>
                <w:szCs w:val="21"/>
                <w:lang w:val="en-US" w:eastAsia="zh-CN"/>
              </w:rPr>
              <w:t>进行跟踪</w:t>
            </w:r>
            <w:r>
              <w:rPr>
                <w:rFonts w:hint="eastAsia" w:ascii="宋体" w:hAnsi="宋体"/>
                <w:sz w:val="21"/>
                <w:szCs w:val="21"/>
              </w:rPr>
              <w:t>，</w:t>
            </w:r>
            <w:r>
              <w:rPr>
                <w:rFonts w:hint="eastAsia" w:ascii="宋体" w:hAnsi="宋体"/>
                <w:sz w:val="21"/>
                <w:szCs w:val="21"/>
                <w:lang w:val="en-US" w:eastAsia="zh-CN"/>
              </w:rPr>
              <w:t>评审完成情况、服务</w:t>
            </w:r>
            <w:r>
              <w:rPr>
                <w:rFonts w:hint="eastAsia" w:ascii="宋体" w:hAnsi="宋体"/>
                <w:sz w:val="21"/>
                <w:szCs w:val="21"/>
              </w:rPr>
              <w:t>质量等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w:t>
            </w:r>
            <w:r>
              <w:rPr>
                <w:rFonts w:hint="eastAsia"/>
                <w:sz w:val="21"/>
                <w:szCs w:val="21"/>
                <w:lang w:val="en-US" w:eastAsia="zh-CN"/>
              </w:rPr>
              <w:t>产品和服务的放行</w:t>
            </w:r>
            <w:r>
              <w:rPr>
                <w:rFonts w:hint="eastAsia"/>
                <w:sz w:val="21"/>
                <w:szCs w:val="21"/>
              </w:rPr>
              <w:t>：</w:t>
            </w:r>
            <w:r>
              <w:rPr>
                <w:rFonts w:hint="eastAsia"/>
                <w:sz w:val="21"/>
                <w:szCs w:val="21"/>
                <w:lang w:val="en-US" w:eastAsia="zh-CN"/>
              </w:rPr>
              <w:t>根据顾客要求进行服务，提供服务后由顾客确认，并部门主管对服务质量进行检查</w:t>
            </w:r>
            <w:r>
              <w:rPr>
                <w:rFonts w:hint="eastAsia" w:ascii="宋体" w:cs="宋体"/>
                <w:sz w:val="21"/>
                <w:szCs w:val="21"/>
              </w:rPr>
              <w:t>。</w:t>
            </w:r>
            <w:r>
              <w:rPr>
                <w:rFonts w:hint="eastAsia"/>
                <w:sz w:val="21"/>
                <w:szCs w:val="21"/>
              </w:rPr>
              <w:t>收集顾客的反馈信息，开展顾客满意度调查，包括顾客抱怨和投诉，体系建立以来未发生顾客投诉事件。</w:t>
            </w:r>
          </w:p>
          <w:p>
            <w:pPr>
              <w:pStyle w:val="17"/>
              <w:keepNext w:val="0"/>
              <w:keepLines w:val="0"/>
              <w:pageBreakBefore w:val="0"/>
              <w:widowControl w:val="0"/>
              <w:kinsoku/>
              <w:wordWrap/>
              <w:overflowPunct/>
              <w:topLinePunct w:val="0"/>
              <w:autoSpaceDE w:val="0"/>
              <w:autoSpaceDN w:val="0"/>
              <w:bidi w:val="0"/>
              <w:adjustRightInd w:val="0"/>
              <w:snapToGrid/>
              <w:spacing w:line="360" w:lineRule="exact"/>
              <w:ind w:right="0" w:rightChars="0"/>
              <w:textAlignment w:val="auto"/>
              <w:outlineLvl w:val="9"/>
              <w:rPr>
                <w:rFonts w:hint="eastAsia" w:eastAsia="宋体"/>
                <w:b/>
                <w:color w:val="000000" w:themeColor="text1"/>
                <w:sz w:val="20"/>
                <w:szCs w:val="20"/>
                <w:lang w:eastAsia="zh-CN"/>
              </w:rPr>
            </w:pPr>
            <w:r>
              <w:rPr>
                <w:rFonts w:hint="eastAsia"/>
                <w:sz w:val="21"/>
                <w:szCs w:val="21"/>
              </w:rPr>
              <w:t>5.变更的控制：</w:t>
            </w:r>
            <w:r>
              <w:rPr>
                <w:rFonts w:hint="eastAsia"/>
                <w:sz w:val="21"/>
                <w:szCs w:val="21"/>
                <w:lang w:val="en-US" w:eastAsia="zh-CN"/>
              </w:rPr>
              <w:t>销售</w:t>
            </w:r>
            <w:r>
              <w:rPr>
                <w:rFonts w:hint="eastAsia"/>
                <w:sz w:val="21"/>
                <w:szCs w:val="21"/>
              </w:rPr>
              <w:t>合同</w:t>
            </w:r>
            <w:r>
              <w:rPr>
                <w:rFonts w:hint="eastAsia"/>
                <w:sz w:val="21"/>
                <w:szCs w:val="21"/>
                <w:lang w:val="en-US" w:eastAsia="zh-CN"/>
              </w:rPr>
              <w:t>/协议</w:t>
            </w:r>
            <w:r>
              <w:rPr>
                <w:rFonts w:hint="eastAsia"/>
                <w:sz w:val="21"/>
                <w:szCs w:val="21"/>
              </w:rPr>
              <w:t>评审后，按合同要求进行</w:t>
            </w:r>
            <w:r>
              <w:rPr>
                <w:rFonts w:hint="eastAsia"/>
                <w:sz w:val="21"/>
                <w:szCs w:val="21"/>
                <w:lang w:val="en-US" w:eastAsia="zh-CN"/>
              </w:rPr>
              <w:t>采购、配送</w:t>
            </w:r>
            <w:r>
              <w:rPr>
                <w:rFonts w:hint="eastAsia"/>
                <w:sz w:val="21"/>
                <w:szCs w:val="21"/>
              </w:rPr>
              <w:t>并交付，如发现标的物与顾客要求不一致的，与客户商量，重新签订合同，交货期延期的，与顾客商量，得到顾客确认后，再及时</w:t>
            </w:r>
            <w:r>
              <w:rPr>
                <w:rFonts w:hint="eastAsia"/>
                <w:sz w:val="21"/>
                <w:szCs w:val="21"/>
                <w:lang w:val="en-US" w:eastAsia="zh-CN"/>
              </w:rPr>
              <w:t>调整</w:t>
            </w:r>
            <w:r>
              <w:rPr>
                <w:rFonts w:hint="eastAsia"/>
                <w:sz w:val="21"/>
                <w:szCs w:val="21"/>
              </w:rPr>
              <w:t>，并对延期的原因进行分析，避免下次再发生，经了解，目前没有发生对生产和服务提供的更改的情况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jc w:val="left"/>
              <w:textAlignment w:val="auto"/>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lang w:val="en-US" w:eastAsia="zh-CN"/>
              </w:rPr>
              <w:t>主要满足客户要求，目前向顾客提供的服务均符合要求，提供有客户验收证明。</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keepNext w:val="0"/>
              <w:keepLines w:val="0"/>
              <w:pageBreakBefore w:val="0"/>
              <w:kinsoku/>
              <w:wordWrap/>
              <w:overflowPunct/>
              <w:topLinePunct w:val="0"/>
              <w:bidi w:val="0"/>
              <w:snapToGrid/>
              <w:spacing w:line="360" w:lineRule="exact"/>
              <w:ind w:firstLine="201" w:firstLineChars="100"/>
              <w:textAlignment w:val="auto"/>
              <w:rPr>
                <w:rFonts w:hint="default"/>
                <w:b/>
                <w:color w:val="000000" w:themeColor="text1"/>
                <w:sz w:val="20"/>
                <w:szCs w:val="20"/>
                <w:lang w:val="en-US" w:eastAsia="zh-CN"/>
              </w:rPr>
            </w:pPr>
            <w:r>
              <w:rPr>
                <w:rFonts w:hint="eastAsia"/>
                <w:b/>
                <w:color w:val="000000" w:themeColor="text1"/>
                <w:sz w:val="20"/>
                <w:szCs w:val="20"/>
                <w:lang w:val="en-US" w:eastAsia="zh-CN"/>
              </w:rPr>
              <w:t>无</w:t>
            </w:r>
          </w:p>
          <w:p>
            <w:pPr>
              <w:keepNext w:val="0"/>
              <w:keepLines w:val="0"/>
              <w:pageBreakBefore w:val="0"/>
              <w:kinsoku/>
              <w:wordWrap/>
              <w:overflowPunct/>
              <w:topLinePunct w:val="0"/>
              <w:bidi w:val="0"/>
              <w:snapToGrid/>
              <w:spacing w:line="360" w:lineRule="exact"/>
              <w:ind w:firstLine="197" w:firstLineChars="98"/>
              <w:textAlignment w:val="auto"/>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EMS组织对重要环境因素实施控制的结果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ascii="宋体" w:hAnsi="宋体"/>
                <w:color w:val="000000"/>
                <w:szCs w:val="21"/>
              </w:rPr>
              <w:t>环境因素识别与评价控制程序</w:t>
            </w:r>
            <w:r>
              <w:rPr>
                <w:rFonts w:hint="eastAsia" w:ascii="宋体" w:hAnsi="宋体"/>
                <w:color w:val="000000"/>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ascii="宋体" w:hAnsi="宋体"/>
                <w:color w:val="000000"/>
                <w:szCs w:val="21"/>
              </w:rPr>
              <w:t>废弃物控制程序</w:t>
            </w:r>
            <w:r>
              <w:rPr>
                <w:rFonts w:hint="eastAsia" w:ascii="宋体" w:hAnsi="宋体"/>
                <w:color w:val="000000"/>
                <w:szCs w:val="21"/>
                <w:lang w:eastAsia="zh-CN"/>
              </w:rPr>
              <w:t>、</w:t>
            </w:r>
            <w:r>
              <w:rPr>
                <w:rFonts w:hint="eastAsia" w:ascii="宋体" w:hAnsi="宋体"/>
                <w:color w:val="000000"/>
                <w:spacing w:val="4"/>
                <w:szCs w:val="21"/>
              </w:rPr>
              <w:t>节能降耗控制程序</w:t>
            </w:r>
            <w:r>
              <w:rPr>
                <w:rFonts w:hint="eastAsia" w:ascii="宋体" w:hAnsi="宋体"/>
                <w:color w:val="000000"/>
                <w:spacing w:val="4"/>
                <w:szCs w:val="21"/>
                <w:lang w:eastAsia="zh-CN"/>
              </w:rPr>
              <w:t>、</w:t>
            </w:r>
            <w:r>
              <w:rPr>
                <w:rFonts w:hint="eastAsia" w:cs="宋体"/>
              </w:rPr>
              <w:t>消防安全管理制度、</w:t>
            </w:r>
            <w:r>
              <w:rPr>
                <w:rFonts w:hint="eastAsia" w:cs="宋体"/>
                <w:lang w:val="en-GB"/>
              </w:rPr>
              <w:t>办公室安全管理制度、车辆管理规定、电脑使用管理办法</w:t>
            </w:r>
            <w:r>
              <w:rPr>
                <w:rFonts w:hint="eastAsia"/>
                <w:sz w:val="21"/>
                <w:szCs w:val="21"/>
              </w:rPr>
              <w:t>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提供有固废处置记录、相关方告知书及发放记录、劳保用品发放记录。抽相关方，未能提供对产品运输外包方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1"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numPr>
                <w:ilvl w:val="0"/>
                <w:numId w:val="4"/>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OHSMS组织对不可接受风险实施控制的结果</w:t>
            </w:r>
          </w:p>
          <w:p>
            <w:pPr>
              <w:keepNext w:val="0"/>
              <w:keepLines w:val="0"/>
              <w:pageBreakBefore w:val="0"/>
              <w:numPr>
                <w:ilvl w:val="0"/>
                <w:numId w:val="0"/>
              </w:numPr>
              <w:kinsoku/>
              <w:wordWrap/>
              <w:overflowPunct/>
              <w:topLinePunct w:val="0"/>
              <w:bidi w:val="0"/>
              <w:snapToGrid/>
              <w:spacing w:line="360" w:lineRule="exact"/>
              <w:textAlignment w:val="auto"/>
              <w:rPr>
                <w:rFonts w:hint="eastAsia"/>
                <w:b/>
                <w:color w:val="000000" w:themeColor="text1"/>
                <w:sz w:val="20"/>
                <w:szCs w:val="20"/>
              </w:rPr>
            </w:pPr>
            <w:r>
              <w:rPr>
                <w:rFonts w:hint="eastAsia"/>
                <w:sz w:val="21"/>
                <w:szCs w:val="21"/>
                <w:lang w:val="en-GB"/>
              </w:rPr>
              <w:t>编制</w:t>
            </w:r>
            <w:r>
              <w:rPr>
                <w:rFonts w:hint="eastAsia" w:ascii="宋体" w:hAnsi="宋体"/>
                <w:color w:val="000000"/>
                <w:szCs w:val="21"/>
              </w:rPr>
              <w:t>危险源识别、风险评价控制程序</w:t>
            </w:r>
            <w:r>
              <w:rPr>
                <w:rFonts w:hint="eastAsia"/>
                <w:sz w:val="21"/>
                <w:szCs w:val="21"/>
                <w:lang w:eastAsia="zh-CN"/>
              </w:rPr>
              <w:t>，</w:t>
            </w:r>
            <w:r>
              <w:rPr>
                <w:rFonts w:hint="eastAsia" w:ascii="宋体" w:hAnsi="宋体"/>
                <w:color w:val="000000"/>
                <w:spacing w:val="4"/>
                <w:szCs w:val="21"/>
              </w:rPr>
              <w:t>环境</w:t>
            </w:r>
            <w:r>
              <w:rPr>
                <w:rFonts w:hint="eastAsia" w:ascii="宋体" w:hAnsi="宋体"/>
                <w:color w:val="000000"/>
                <w:spacing w:val="4"/>
                <w:szCs w:val="21"/>
                <w:lang w:val="en-US" w:eastAsia="zh-CN"/>
              </w:rPr>
              <w:t>安全</w:t>
            </w:r>
            <w:r>
              <w:rPr>
                <w:rFonts w:hint="eastAsia" w:ascii="宋体" w:hAnsi="宋体"/>
                <w:color w:val="000000"/>
                <w:spacing w:val="4"/>
                <w:szCs w:val="21"/>
              </w:rPr>
              <w:t>运行控制程序</w:t>
            </w:r>
            <w:r>
              <w:rPr>
                <w:rFonts w:hint="eastAsia" w:ascii="宋体" w:hAnsi="宋体"/>
                <w:color w:val="000000"/>
                <w:spacing w:val="4"/>
                <w:szCs w:val="21"/>
                <w:lang w:eastAsia="zh-CN"/>
              </w:rPr>
              <w:t>，</w:t>
            </w:r>
            <w:r>
              <w:rPr>
                <w:rFonts w:hint="eastAsia" w:cs="宋体"/>
              </w:rPr>
              <w:t>消防安全管理制度</w:t>
            </w:r>
            <w:r>
              <w:rPr>
                <w:rFonts w:hint="eastAsia" w:cs="宋体"/>
                <w:lang w:eastAsia="zh-CN"/>
              </w:rPr>
              <w:t>，</w:t>
            </w:r>
            <w:r>
              <w:rPr>
                <w:rFonts w:hint="eastAsia" w:cs="宋体"/>
                <w:lang w:val="en-GB"/>
              </w:rPr>
              <w:t>办公室安全管理制度</w:t>
            </w:r>
            <w:r>
              <w:rPr>
                <w:rFonts w:hint="eastAsia" w:cs="宋体"/>
                <w:lang w:val="en-GB" w:eastAsia="zh-CN"/>
              </w:rPr>
              <w:t>，</w:t>
            </w:r>
            <w:r>
              <w:rPr>
                <w:rFonts w:hint="eastAsia" w:cs="宋体"/>
                <w:lang w:val="en-GB"/>
              </w:rPr>
              <w:t>车辆管理规定</w:t>
            </w:r>
            <w:r>
              <w:rPr>
                <w:rFonts w:hint="eastAsia" w:cs="宋体"/>
                <w:lang w:val="en-GB" w:eastAsia="zh-CN"/>
              </w:rPr>
              <w:t>，</w:t>
            </w:r>
            <w:r>
              <w:rPr>
                <w:rFonts w:hint="eastAsia" w:cs="宋体"/>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w:t>
            </w:r>
            <w:r>
              <w:rPr>
                <w:rFonts w:hint="eastAsia"/>
                <w:sz w:val="21"/>
                <w:szCs w:val="21"/>
                <w:lang w:val="en-US" w:eastAsia="zh-CN"/>
              </w:rPr>
              <w:t>但未能提供对产品运输方</w:t>
            </w:r>
            <w:r>
              <w:rPr>
                <w:rFonts w:hint="eastAsia" w:ascii="方正仿宋简体" w:eastAsia="方正仿宋简体"/>
                <w:b w:val="0"/>
                <w:bCs/>
                <w:lang w:val="en-US" w:eastAsia="zh-CN"/>
              </w:rPr>
              <w:t>施加影响的证据。</w:t>
            </w:r>
            <w:r>
              <w:rPr>
                <w:rFonts w:hint="eastAsia"/>
                <w:sz w:val="21"/>
                <w:szCs w:val="21"/>
              </w:rPr>
              <w:t>办公区域干净整洁，配置灭火器等消防设施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ind w:left="201" w:hanging="201" w:hangingChars="100"/>
              <w:textAlignment w:val="auto"/>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kinsoku/>
              <w:wordWrap/>
              <w:overflowPunct/>
              <w:topLinePunct w:val="0"/>
              <w:bidi w:val="0"/>
              <w:snapToGrid/>
              <w:spacing w:line="360" w:lineRule="exact"/>
              <w:textAlignment w:val="auto"/>
              <w:rPr>
                <w:rFonts w:hint="default"/>
                <w:b/>
                <w:color w:val="000000" w:themeColor="text1"/>
                <w:spacing w:val="-4"/>
                <w:sz w:val="20"/>
                <w:szCs w:val="20"/>
                <w:lang w:val="en-US"/>
              </w:rPr>
            </w:pPr>
            <w:r>
              <w:rPr>
                <w:rFonts w:hint="eastAsia"/>
                <w:sz w:val="21"/>
                <w:szCs w:val="21"/>
                <w:lang w:val="en-GB"/>
              </w:rPr>
              <w:t>编制应急准备和响应控制程序，识别的潜在意外紧急情况为火灾、触电等。编制了应急预案，组织了消防演练</w:t>
            </w:r>
            <w:r>
              <w:rPr>
                <w:rFonts w:hint="eastAsia"/>
                <w:sz w:val="21"/>
                <w:szCs w:val="21"/>
                <w:lang w:val="en-US" w:eastAsia="zh-CN"/>
              </w:rPr>
              <w:t>演练</w:t>
            </w:r>
            <w:r>
              <w:rPr>
                <w:rFonts w:hint="eastAsia"/>
                <w:sz w:val="21"/>
                <w:szCs w:val="21"/>
                <w:lang w:val="en-GB"/>
              </w:rPr>
              <w:t>，提供了应急预案演练记录。对应急预案进行了评价，可行。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10. 对特种设备的维护，检定; </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bidi w:val="0"/>
              <w:snapToGrid/>
              <w:spacing w:line="36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提供了文件化可分解的目标、指标，经查问分解到各部门，经查阅建立的管理目标符合标准要求，在方针的框架下展开，每季度考核一次，查看20</w:t>
            </w:r>
            <w:r>
              <w:rPr>
                <w:rFonts w:hint="eastAsia"/>
                <w:sz w:val="21"/>
                <w:szCs w:val="21"/>
                <w:lang w:val="en-US" w:eastAsia="zh-CN"/>
              </w:rPr>
              <w:t>21</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113" w:right="113"/>
              <w:jc w:val="center"/>
              <w:textAlignment w:val="auto"/>
              <w:rPr>
                <w:b/>
                <w:color w:val="000000" w:themeColor="text1"/>
                <w:szCs w:val="21"/>
              </w:rPr>
            </w:pPr>
          </w:p>
        </w:tc>
        <w:tc>
          <w:tcPr>
            <w:tcW w:w="9198" w:type="dxa"/>
          </w:tcPr>
          <w:p>
            <w:pPr>
              <w:keepNext w:val="0"/>
              <w:keepLines w:val="0"/>
              <w:pageBreakBefore w:val="0"/>
              <w:numPr>
                <w:ilvl w:val="0"/>
                <w:numId w:val="5"/>
              </w:numPr>
              <w:kinsoku/>
              <w:wordWrap/>
              <w:overflowPunct/>
              <w:topLinePunct w:val="0"/>
              <w:bidi w:val="0"/>
              <w:snapToGrid/>
              <w:spacing w:line="360" w:lineRule="exact"/>
              <w:ind w:left="100" w:hanging="100" w:hangingChars="50"/>
              <w:textAlignment w:val="auto"/>
              <w:rPr>
                <w:rFonts w:hint="eastAsia"/>
                <w:b/>
                <w:color w:val="000000" w:themeColor="text1"/>
                <w:sz w:val="20"/>
                <w:szCs w:val="20"/>
              </w:rPr>
            </w:pPr>
            <w:r>
              <w:rPr>
                <w:rFonts w:hint="eastAsia"/>
                <w:b/>
                <w:color w:val="000000" w:themeColor="text1"/>
                <w:sz w:val="20"/>
                <w:szCs w:val="20"/>
              </w:rPr>
              <w:t>顾客满意</w:t>
            </w:r>
          </w:p>
          <w:p>
            <w:pPr>
              <w:keepNext w:val="0"/>
              <w:keepLines w:val="0"/>
              <w:pageBreakBefore w:val="0"/>
              <w:kinsoku/>
              <w:wordWrap/>
              <w:overflowPunct/>
              <w:topLinePunct w:val="0"/>
              <w:bidi w:val="0"/>
              <w:snapToGrid/>
              <w:spacing w:line="360" w:lineRule="exact"/>
              <w:textAlignment w:val="auto"/>
              <w:rPr>
                <w:rFonts w:hint="eastAsia"/>
                <w:b/>
                <w:color w:val="000000" w:themeColor="text1"/>
                <w:sz w:val="20"/>
                <w:szCs w:val="20"/>
              </w:rPr>
            </w:pPr>
            <w:r>
              <w:rPr>
                <w:rFonts w:hint="eastAsia" w:ascii="Times New Roman" w:hAnsi="Times New Roman" w:cs="Times New Roman"/>
                <w:sz w:val="21"/>
                <w:szCs w:val="21"/>
                <w:lang w:val="zh-CN"/>
              </w:rPr>
              <w:t>公司通过电话</w:t>
            </w:r>
            <w:r>
              <w:rPr>
                <w:rFonts w:hint="eastAsia" w:cs="Times New Roman"/>
                <w:sz w:val="21"/>
                <w:szCs w:val="21"/>
                <w:lang w:val="zh-CN"/>
              </w:rPr>
              <w:t>、</w:t>
            </w:r>
            <w:r>
              <w:rPr>
                <w:rFonts w:hint="eastAsia" w:cs="Times New Roman"/>
                <w:sz w:val="21"/>
                <w:szCs w:val="21"/>
                <w:lang w:val="en-US" w:eastAsia="zh-CN"/>
              </w:rPr>
              <w:t>网络、</w:t>
            </w:r>
            <w:r>
              <w:rPr>
                <w:rFonts w:hint="eastAsia" w:ascii="Times New Roman" w:hAnsi="Times New Roman" w:cs="Times New Roman"/>
                <w:sz w:val="21"/>
                <w:szCs w:val="21"/>
                <w:lang w:val="zh-CN"/>
              </w:rPr>
              <w:t>走访等形式，接受顾客反馈，了解顾客顾客满意度信息，发放调查表对顾客满意度进行定量测量。提供“顾客满意程度调查表”，调查主要内容：</w:t>
            </w:r>
            <w:r>
              <w:rPr>
                <w:rFonts w:hint="eastAsia" w:cs="宋体"/>
                <w:lang w:val="en-US" w:eastAsia="zh-CN"/>
              </w:rPr>
              <w:t>质量、价格、交货期、服务</w:t>
            </w:r>
            <w:r>
              <w:rPr>
                <w:rFonts w:hint="eastAsia" w:ascii="Times New Roman" w:hAnsi="Times New Roman" w:cs="Times New Roman"/>
                <w:sz w:val="21"/>
                <w:szCs w:val="21"/>
              </w:rPr>
              <w:t>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w:t>
            </w:r>
            <w:r>
              <w:rPr>
                <w:rFonts w:hint="eastAsia" w:cs="Times New Roman"/>
                <w:sz w:val="21"/>
                <w:szCs w:val="21"/>
                <w:lang w:eastAsia="zh-CN"/>
              </w:rPr>
              <w:t>“</w:t>
            </w:r>
            <w:r>
              <w:rPr>
                <w:rFonts w:hint="eastAsia" w:ascii="Times New Roman" w:hAnsi="Times New Roman" w:cs="Times New Roman"/>
                <w:sz w:val="21"/>
                <w:szCs w:val="21"/>
              </w:rPr>
              <w:t>顾客满意程度统计分析表</w:t>
            </w:r>
            <w:r>
              <w:rPr>
                <w:rFonts w:hint="eastAsia" w:cs="Times New Roman"/>
                <w:sz w:val="21"/>
                <w:szCs w:val="21"/>
                <w:lang w:eastAsia="zh-CN"/>
              </w:rPr>
              <w:t>”，</w:t>
            </w:r>
            <w:r>
              <w:rPr>
                <w:rFonts w:hint="eastAsia" w:cs="Times New Roman"/>
                <w:sz w:val="21"/>
                <w:szCs w:val="21"/>
                <w:lang w:val="en-US" w:eastAsia="zh-CN"/>
              </w:rPr>
              <w:t>得出</w:t>
            </w:r>
            <w:r>
              <w:rPr>
                <w:rFonts w:hint="eastAsia" w:ascii="Times New Roman" w:hAnsi="Times New Roman" w:cs="Times New Roman"/>
                <w:sz w:val="21"/>
                <w:szCs w:val="21"/>
              </w:rPr>
              <w:t>顾客满意率</w:t>
            </w:r>
            <w:r>
              <w:rPr>
                <w:rFonts w:hint="eastAsia" w:cs="Times New Roman"/>
                <w:sz w:val="21"/>
                <w:szCs w:val="21"/>
                <w:lang w:val="en-US" w:eastAsia="zh-CN"/>
              </w:rPr>
              <w:t>98.3</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21年3月28日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textDirection w:val="tbRlV"/>
            <w:vAlign w:val="center"/>
          </w:tcPr>
          <w:p>
            <w:pPr>
              <w:keepNext w:val="0"/>
              <w:keepLines w:val="0"/>
              <w:pageBreakBefore w:val="0"/>
              <w:kinsoku/>
              <w:wordWrap/>
              <w:overflowPunct/>
              <w:topLinePunct w:val="0"/>
              <w:bidi w:val="0"/>
              <w:snapToGrid/>
              <w:spacing w:line="36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21</w:t>
            </w:r>
            <w:r>
              <w:rPr>
                <w:rFonts w:hint="eastAsia" w:cs="宋体"/>
              </w:rPr>
              <w:t>年</w:t>
            </w:r>
            <w:r>
              <w:rPr>
                <w:rFonts w:hint="eastAsia" w:cs="宋体"/>
                <w:lang w:val="en-US" w:eastAsia="zh-CN"/>
              </w:rPr>
              <w:t>4</w:t>
            </w:r>
            <w:r>
              <w:rPr>
                <w:rFonts w:hint="eastAsia" w:cs="宋体"/>
              </w:rPr>
              <w:t>月</w:t>
            </w:r>
            <w:r>
              <w:rPr>
                <w:rFonts w:hint="eastAsia" w:cs="宋体"/>
                <w:lang w:val="en-US" w:eastAsia="zh-CN"/>
              </w:rPr>
              <w:t>15</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numPr>
                <w:ilvl w:val="0"/>
                <w:numId w:val="6"/>
              </w:numPr>
              <w:kinsoku/>
              <w:wordWrap/>
              <w:overflowPunct/>
              <w:topLinePunct w:val="0"/>
              <w:bidi w:val="0"/>
              <w:snapToGrid/>
              <w:spacing w:line="360" w:lineRule="exact"/>
              <w:textAlignment w:val="auto"/>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val="0"/>
                <w:bCs/>
                <w:color w:val="000000" w:themeColor="text1"/>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7"/>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720" w:type="dxa"/>
            <w:vMerge w:val="restart"/>
            <w:textDirection w:val="tbRlV"/>
            <w:vAlign w:val="center"/>
          </w:tcPr>
          <w:p>
            <w:pPr>
              <w:keepNext w:val="0"/>
              <w:keepLines w:val="0"/>
              <w:pageBreakBefore w:val="0"/>
              <w:kinsoku/>
              <w:wordWrap/>
              <w:overflowPunct/>
              <w:topLinePunct w:val="0"/>
              <w:bidi w:val="0"/>
              <w:snapToGrid/>
              <w:spacing w:line="36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1 纠正/预防措施的实施及效果</w:t>
            </w:r>
          </w:p>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w:t>
            </w:r>
            <w:r>
              <w:rPr>
                <w:rFonts w:hint="eastAsia"/>
                <w:sz w:val="21"/>
                <w:szCs w:val="21"/>
              </w:rPr>
              <w:t>实施</w:t>
            </w:r>
            <w:r>
              <w:rPr>
                <w:rFonts w:hint="eastAsia"/>
                <w:sz w:val="21"/>
                <w:szCs w:val="21"/>
                <w:lang w:val="en-US" w:eastAsia="zh-CN"/>
              </w:rPr>
              <w:t>完成</w:t>
            </w:r>
            <w:r>
              <w:rPr>
                <w:rFonts w:hint="eastAsia"/>
                <w:sz w:val="21"/>
                <w:szCs w:val="21"/>
              </w:rPr>
              <w:t>。</w:t>
            </w:r>
            <w:r>
              <w:rPr>
                <w:rFonts w:hint="eastAsia"/>
                <w:sz w:val="21"/>
                <w:szCs w:val="21"/>
                <w:lang w:eastAsia="zh-CN"/>
              </w:rPr>
              <w:t>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rFonts w:hint="eastAsia" w:eastAsia="宋体"/>
                <w:b/>
                <w:color w:val="000000" w:themeColor="text1"/>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36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bidi w:val="0"/>
              <w:snapToGrid/>
              <w:spacing w:line="360" w:lineRule="exact"/>
              <w:ind w:firstLine="322" w:firstLineChars="200"/>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textAlignment w:val="auto"/>
              <w:rPr>
                <w:rFonts w:hint="default" w:eastAsia="宋体"/>
                <w:b/>
                <w:color w:val="000000" w:themeColor="text1"/>
                <w:sz w:val="20"/>
                <w:szCs w:val="20"/>
                <w:lang w:val="en-US" w:eastAsia="zh-CN"/>
              </w:rPr>
            </w:pPr>
            <w:r>
              <w:rPr>
                <w:rFonts w:hint="eastAsia"/>
                <w:b/>
                <w:color w:val="000000" w:themeColor="text1"/>
                <w:sz w:val="20"/>
                <w:szCs w:val="20"/>
              </w:rPr>
              <w:t>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20" w:type="dxa"/>
            <w:vMerge w:val="continue"/>
            <w:vAlign w:val="center"/>
          </w:tcPr>
          <w:p>
            <w:pPr>
              <w:keepNext w:val="0"/>
              <w:keepLines w:val="0"/>
              <w:pageBreakBefore w:val="0"/>
              <w:kinsoku/>
              <w:wordWrap/>
              <w:overflowPunct/>
              <w:topLinePunct w:val="0"/>
              <w:bidi w:val="0"/>
              <w:snapToGrid/>
              <w:spacing w:line="36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8"/>
              </w:numPr>
              <w:kinsoku/>
              <w:wordWrap/>
              <w:overflowPunct/>
              <w:topLinePunct w:val="0"/>
              <w:bidi w:val="0"/>
              <w:snapToGrid/>
              <w:spacing w:line="360" w:lineRule="exact"/>
              <w:ind w:left="0" w:leftChars="0" w:firstLine="0" w:firstLineChars="0"/>
              <w:textAlignment w:val="auto"/>
              <w:rPr>
                <w:rFonts w:hint="eastAsia"/>
                <w:b/>
                <w:color w:val="000000" w:themeColor="text1"/>
                <w:szCs w:val="21"/>
              </w:rPr>
            </w:pPr>
            <w:r>
              <w:rPr>
                <w:rFonts w:hint="eastAsia"/>
                <w:b/>
                <w:color w:val="000000" w:themeColor="text1"/>
                <w:szCs w:val="21"/>
              </w:rPr>
              <w:t>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市场部</w:t>
      </w:r>
      <w:r>
        <w:rPr>
          <w:rFonts w:hint="eastAsia"/>
          <w:b/>
          <w:color w:val="000000" w:themeColor="text1"/>
        </w:rPr>
        <w:t>的GB/T19001-2016标准的</w:t>
      </w:r>
      <w:r>
        <w:rPr>
          <w:rFonts w:hint="eastAsia"/>
          <w:b/>
          <w:color w:val="000000" w:themeColor="text1"/>
          <w:lang w:val="en-US" w:eastAsia="zh-CN"/>
        </w:rPr>
        <w:t>8.4.1</w:t>
      </w:r>
      <w:r>
        <w:rPr>
          <w:rFonts w:hint="eastAsia"/>
          <w:b/>
          <w:color w:val="000000" w:themeColor="text1"/>
        </w:rPr>
        <w:t>条款，GB/T24001-2016标准的</w:t>
      </w:r>
      <w:r>
        <w:rPr>
          <w:rFonts w:hint="eastAsia"/>
          <w:b/>
          <w:color w:val="000000" w:themeColor="text1"/>
          <w:lang w:val="en-US" w:eastAsia="zh-CN"/>
        </w:rPr>
        <w:t>8.1</w:t>
      </w:r>
      <w:r>
        <w:rPr>
          <w:rFonts w:hint="eastAsia"/>
          <w:b/>
          <w:color w:val="000000" w:themeColor="text1"/>
        </w:rPr>
        <w:t>条款，</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8.1.4</w:t>
      </w:r>
      <w:r>
        <w:rPr>
          <w:rFonts w:hint="eastAsia"/>
          <w:b/>
          <w:color w:val="000000" w:themeColor="text1"/>
        </w:rPr>
        <w:t>条款</w:t>
      </w:r>
      <w:r>
        <w:rPr>
          <w:rFonts w:hint="eastAsia"/>
          <w:b/>
          <w:color w:val="000000" w:themeColor="text1"/>
          <w:lang w:eastAsia="zh-CN"/>
        </w:rPr>
        <w:t>；</w:t>
      </w:r>
      <w:r>
        <w:rPr>
          <w:rFonts w:hint="eastAsia"/>
          <w:b/>
          <w:color w:val="000000" w:themeColor="text1"/>
          <w:lang w:val="en-US" w:eastAsia="zh-CN"/>
        </w:rPr>
        <w:t>办公室</w:t>
      </w:r>
      <w:r>
        <w:rPr>
          <w:rFonts w:hint="eastAsia"/>
          <w:b/>
          <w:color w:val="000000" w:themeColor="text1"/>
        </w:rPr>
        <w:t>GB/T24001-2016</w:t>
      </w:r>
      <w:r>
        <w:rPr>
          <w:rFonts w:hint="eastAsia"/>
          <w:b/>
          <w:color w:val="000000" w:themeColor="text1"/>
          <w:lang w:eastAsia="zh-CN"/>
        </w:rPr>
        <w:t>、</w:t>
      </w:r>
      <w:r>
        <w:rPr>
          <w:rFonts w:hint="eastAsia"/>
          <w:b/>
          <w:color w:val="000000" w:themeColor="text1"/>
          <w:lang w:val="en-US" w:eastAsia="zh-CN"/>
        </w:rPr>
        <w:t>GB/T45001-2020</w:t>
      </w:r>
      <w:r>
        <w:rPr>
          <w:rFonts w:hint="eastAsia"/>
          <w:b/>
          <w:color w:val="000000" w:themeColor="text1"/>
        </w:rPr>
        <w:t>标准的</w:t>
      </w:r>
      <w:r>
        <w:rPr>
          <w:rFonts w:hint="eastAsia"/>
          <w:b/>
          <w:color w:val="000000" w:themeColor="text1"/>
          <w:lang w:val="en-US" w:eastAsia="zh-CN"/>
        </w:rPr>
        <w:t>6.1.3</w:t>
      </w:r>
      <w:r>
        <w:rPr>
          <w:rFonts w:hint="eastAsia"/>
          <w:b/>
          <w:color w:val="000000" w:themeColor="text1"/>
        </w:rPr>
        <w:t>条款，分布见附件。</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 w:leftChars="-472" w:hanging="992" w:hangingChars="380"/>
        <w:rPr>
          <w:b/>
          <w:color w:val="000000" w:themeColor="text1"/>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24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24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24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24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0" w:leftChars="105" w:firstLine="0" w:firstLineChars="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pStyle w:val="17"/>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ascii="宋体" w:hAnsi="宋体"/>
                <w:sz w:val="21"/>
                <w:szCs w:val="21"/>
                <w:u w:val="single"/>
                <w:lang w:eastAsia="zh-CN"/>
              </w:rPr>
              <w:t>九至（河北）教育科技有限公司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7"/>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7"/>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rFonts w:hint="eastAsia"/>
                <w:b/>
                <w:color w:val="000000" w:themeColor="text1"/>
                <w:spacing w:val="-10"/>
                <w:szCs w:val="21"/>
                <w:lang w:eastAsia="zh-CN"/>
              </w:rPr>
            </w:pPr>
            <w:r>
              <w:rPr>
                <w:rFonts w:hint="eastAsia"/>
                <w:b/>
                <w:color w:val="000000" w:themeColor="text1"/>
                <w:spacing w:val="-10"/>
                <w:szCs w:val="21"/>
                <w:lang w:eastAsia="zh-CN"/>
              </w:rPr>
              <w:t>Q：教学设备、实验室设备、仪器仪表、教学用具、体育用品、乐器、教学模型、课桌椅、电子产品、多媒体设备的销售</w:t>
            </w:r>
          </w:p>
          <w:p>
            <w:pPr>
              <w:rPr>
                <w:rFonts w:hint="eastAsia"/>
                <w:b/>
                <w:color w:val="000000" w:themeColor="text1"/>
                <w:spacing w:val="-10"/>
                <w:szCs w:val="21"/>
                <w:lang w:eastAsia="zh-CN"/>
              </w:rPr>
            </w:pPr>
            <w:r>
              <w:rPr>
                <w:rFonts w:hint="eastAsia"/>
                <w:b/>
                <w:color w:val="000000" w:themeColor="text1"/>
                <w:spacing w:val="-10"/>
                <w:szCs w:val="21"/>
                <w:lang w:eastAsia="zh-CN"/>
              </w:rPr>
              <w:t>E：教学设备、实验室设备、仪器仪表、教学用具、体育用品、乐器、教学模型、课桌椅、电子产品、多媒体设备的销售及相关环境管理活动</w:t>
            </w:r>
          </w:p>
          <w:p>
            <w:pPr>
              <w:rPr>
                <w:rFonts w:hint="eastAsia"/>
                <w:b/>
                <w:color w:val="000000" w:themeColor="text1"/>
                <w:spacing w:val="-10"/>
                <w:szCs w:val="21"/>
                <w:lang w:eastAsia="zh-CN"/>
              </w:rPr>
            </w:pPr>
            <w:r>
              <w:rPr>
                <w:rFonts w:hint="eastAsia"/>
                <w:b/>
                <w:color w:val="000000" w:themeColor="text1"/>
                <w:spacing w:val="-10"/>
                <w:szCs w:val="21"/>
                <w:lang w:eastAsia="zh-CN"/>
              </w:rPr>
              <w:t>O：教学设备、实验室设备、仪器仪表、教学用具、体育用品、乐器、教学模型、课桌椅、电子产品、多媒体设备的销售及相关职业健康安全管理活动</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keepNext w:val="0"/>
        <w:keepLines w:val="0"/>
        <w:pageBreakBefore w:val="0"/>
        <w:kinsoku/>
        <w:wordWrap/>
        <w:overflowPunct/>
        <w:topLinePunct w:val="0"/>
        <w:autoSpaceDE/>
        <w:autoSpaceDN/>
        <w:bidi w:val="0"/>
        <w:adjustRightInd/>
        <w:spacing w:line="360" w:lineRule="exact"/>
        <w:ind w:left="-67" w:leftChars="-472" w:hanging="924" w:hangingChars="354"/>
        <w:textAlignment w:val="auto"/>
        <w:rPr>
          <w:rFonts w:ascii="仿宋" w:hAnsi="仿宋" w:eastAsia="仿宋"/>
          <w:color w:val="000000" w:themeColor="text1"/>
          <w:kern w:val="24"/>
          <w:sz w:val="28"/>
          <w:szCs w:val="28"/>
        </w:rPr>
      </w:pPr>
      <w:r>
        <w:rPr>
          <w:rFonts w:hint="eastAsia" w:ascii="Times New Roman" w:hAnsi="Times New Roman" w:eastAsia="宋体" w:cs="Times New Roman"/>
          <w:b/>
          <w:color w:val="000000" w:themeColor="text1"/>
          <w:kern w:val="2"/>
          <w:sz w:val="26"/>
          <w:szCs w:val="26"/>
          <w:lang w:val="en-US" w:eastAsia="zh-CN" w:bidi="ar-SA"/>
        </w:rPr>
        <w:t>十一、审核基于对可获得信息的抽样过程的免责声明</w:t>
      </w:r>
      <w:r>
        <w:rPr>
          <w:rFonts w:hint="eastAsia" w:ascii="仿宋" w:hAnsi="仿宋" w:eastAsia="仿宋"/>
          <w:color w:val="000000" w:themeColor="text1"/>
          <w:kern w:val="24"/>
          <w:sz w:val="28"/>
          <w:szCs w:val="28"/>
        </w:rPr>
        <w:t xml:space="preserve"> </w:t>
      </w:r>
    </w:p>
    <w:p>
      <w:pPr>
        <w:keepNext w:val="0"/>
        <w:keepLines w:val="0"/>
        <w:pageBreakBefore w:val="0"/>
        <w:kinsoku/>
        <w:wordWrap/>
        <w:overflowPunct/>
        <w:topLinePunct w:val="0"/>
        <w:autoSpaceDE/>
        <w:autoSpaceDN/>
        <w:bidi w:val="0"/>
        <w:adjustRightInd/>
        <w:snapToGrid w:val="0"/>
        <w:spacing w:line="360" w:lineRule="exact"/>
        <w:jc w:val="left"/>
        <w:textAlignment w:val="auto"/>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keepNext w:val="0"/>
        <w:keepLines w:val="0"/>
        <w:pageBreakBefore w:val="0"/>
        <w:tabs>
          <w:tab w:val="left" w:pos="645"/>
        </w:tabs>
        <w:kinsoku/>
        <w:wordWrap/>
        <w:overflowPunct/>
        <w:topLinePunct w:val="0"/>
        <w:autoSpaceDE/>
        <w:autoSpaceDN/>
        <w:bidi w:val="0"/>
        <w:adjustRightInd/>
        <w:spacing w:line="360" w:lineRule="exact"/>
        <w:ind w:left="-850" w:leftChars="-405"/>
        <w:textAlignment w:val="auto"/>
        <w:rPr>
          <w:b/>
          <w:color w:val="000000" w:themeColor="text1"/>
          <w:sz w:val="14"/>
          <w:szCs w:val="14"/>
        </w:rPr>
      </w:pPr>
      <w:r>
        <w:rPr>
          <w:rFonts w:hint="eastAsia"/>
          <w:b/>
          <w:color w:val="000000" w:themeColor="text1"/>
          <w:sz w:val="26"/>
          <w:szCs w:val="26"/>
        </w:rPr>
        <w:t>十二、不符合项纠正措施要求</w:t>
      </w:r>
    </w:p>
    <w:p>
      <w:pPr>
        <w:keepNext w:val="0"/>
        <w:keepLines w:val="0"/>
        <w:pageBreakBefore w:val="0"/>
        <w:kinsoku/>
        <w:wordWrap/>
        <w:overflowPunct/>
        <w:topLinePunct w:val="0"/>
        <w:autoSpaceDE/>
        <w:autoSpaceDN/>
        <w:bidi w:val="0"/>
        <w:adjustRightInd/>
        <w:spacing w:line="360" w:lineRule="exact"/>
        <w:ind w:left="-850" w:leftChars="-405" w:firstLine="422" w:firstLineChars="200"/>
        <w:textAlignment w:val="auto"/>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rFonts w:hint="default" w:eastAsia="宋体"/>
          <w:b/>
          <w:color w:val="000000" w:themeColor="text1"/>
          <w:sz w:val="16"/>
          <w:szCs w:val="16"/>
          <w:lang w:val="en-US" w:eastAsia="zh-CN"/>
        </w:rPr>
      </w:pPr>
      <w:r>
        <w:rPr>
          <w:rFonts w:hint="eastAsia"/>
          <w:b/>
          <w:color w:val="000000" w:themeColor="text1"/>
          <w:sz w:val="26"/>
          <w:szCs w:val="26"/>
        </w:rPr>
        <w:t>十三、 任何影响审核方案的重要事项</w:t>
      </w:r>
      <w:r>
        <w:rPr>
          <w:rFonts w:hint="eastAsia"/>
          <w:b/>
          <w:color w:val="000000" w:themeColor="text1"/>
          <w:sz w:val="16"/>
          <w:szCs w:val="16"/>
          <w:lang w:val="en-US" w:eastAsia="zh-CN"/>
        </w:rPr>
        <w:t xml:space="preserve">        </w:t>
      </w:r>
    </w:p>
    <w:p>
      <w:pPr>
        <w:keepNext w:val="0"/>
        <w:keepLines w:val="0"/>
        <w:pageBreakBefore w:val="0"/>
        <w:kinsoku/>
        <w:wordWrap/>
        <w:overflowPunct/>
        <w:topLinePunct w:val="0"/>
        <w:autoSpaceDE/>
        <w:autoSpaceDN/>
        <w:bidi w:val="0"/>
        <w:adjustRightInd/>
        <w:snapToGrid w:val="0"/>
        <w:spacing w:line="360" w:lineRule="exact"/>
        <w:textAlignment w:val="auto"/>
        <w:rPr>
          <w:b/>
          <w:bCs/>
          <w:color w:val="000000" w:themeColor="text1"/>
          <w:szCs w:val="28"/>
          <w:u w:val="single"/>
        </w:rPr>
      </w:pPr>
    </w:p>
    <w:p>
      <w:pPr>
        <w:keepNext w:val="0"/>
        <w:keepLines w:val="0"/>
        <w:pageBreakBefore w:val="0"/>
        <w:kinsoku/>
        <w:wordWrap/>
        <w:overflowPunct/>
        <w:topLinePunct w:val="0"/>
        <w:autoSpaceDE/>
        <w:autoSpaceDN/>
        <w:bidi w:val="0"/>
        <w:adjustRightInd/>
        <w:snapToGrid w:val="0"/>
        <w:spacing w:afterLines="50" w:line="360" w:lineRule="exact"/>
        <w:ind w:left="1" w:leftChars="-405" w:hanging="851" w:hangingChars="326"/>
        <w:textAlignment w:val="auto"/>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1312" behindDoc="0" locked="0" layoutInCell="1" allowOverlap="1">
            <wp:simplePos x="0" y="0"/>
            <wp:positionH relativeFrom="column">
              <wp:posOffset>1461135</wp:posOffset>
            </wp:positionH>
            <wp:positionV relativeFrom="paragraph">
              <wp:posOffset>82550</wp:posOffset>
            </wp:positionV>
            <wp:extent cx="1093470" cy="52641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93470" cy="526415"/>
                    </a:xfrm>
                    <a:prstGeom prst="rect">
                      <a:avLst/>
                    </a:prstGeom>
                  </pic:spPr>
                </pic:pic>
              </a:graphicData>
            </a:graphic>
          </wp:anchor>
        </w:drawing>
      </w:r>
      <w:r>
        <w:rPr>
          <w:rFonts w:hint="eastAsia"/>
          <w:b/>
          <w:color w:val="000000" w:themeColor="text1"/>
          <w:sz w:val="26"/>
          <w:szCs w:val="26"/>
        </w:rPr>
        <w:t>十四、审核组签字</w:t>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b/>
          <w:color w:val="000000" w:themeColor="text1"/>
        </w:rPr>
      </w:pPr>
      <w:r>
        <w:rPr>
          <w:rFonts w:hint="eastAsia"/>
          <w:b/>
          <w:color w:val="000000" w:themeColor="text1"/>
          <w:sz w:val="26"/>
          <w:szCs w:val="26"/>
        </w:rPr>
        <w:t>审核组组长（签名）：</w:t>
      </w:r>
    </w:p>
    <w:p>
      <w:pPr>
        <w:keepNext w:val="0"/>
        <w:keepLines w:val="0"/>
        <w:pageBreakBefore w:val="0"/>
        <w:kinsoku/>
        <w:wordWrap/>
        <w:overflowPunct/>
        <w:topLinePunct w:val="0"/>
        <w:autoSpaceDE/>
        <w:autoSpaceDN/>
        <w:bidi w:val="0"/>
        <w:adjustRightInd/>
        <w:snapToGrid w:val="0"/>
        <w:spacing w:afterLines="50" w:line="360" w:lineRule="exact"/>
        <w:ind w:left="-13" w:leftChars="-32" w:hanging="54" w:hangingChars="26"/>
        <w:textAlignment w:val="auto"/>
        <w:rPr>
          <w:rFonts w:hint="eastAsia"/>
          <w:b/>
          <w:color w:val="000000" w:themeColor="text1"/>
          <w:sz w:val="26"/>
          <w:szCs w:val="26"/>
        </w:rPr>
      </w:pPr>
      <w:r>
        <w:drawing>
          <wp:anchor distT="0" distB="0" distL="114300" distR="114300" simplePos="0" relativeHeight="251663360" behindDoc="0" locked="0" layoutInCell="1" allowOverlap="1">
            <wp:simplePos x="0" y="0"/>
            <wp:positionH relativeFrom="column">
              <wp:posOffset>1594485</wp:posOffset>
            </wp:positionH>
            <wp:positionV relativeFrom="paragraph">
              <wp:posOffset>200025</wp:posOffset>
            </wp:positionV>
            <wp:extent cx="956945" cy="428625"/>
            <wp:effectExtent l="0" t="0" r="8255" b="317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956945" cy="42862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val="0"/>
        <w:spacing w:afterLines="50" w:line="360" w:lineRule="exact"/>
        <w:ind w:left="1" w:leftChars="-32" w:hanging="68" w:hangingChars="26"/>
        <w:textAlignment w:val="auto"/>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keepNext w:val="0"/>
        <w:keepLines w:val="0"/>
        <w:pageBreakBefore w:val="0"/>
        <w:kinsoku/>
        <w:wordWrap/>
        <w:overflowPunct/>
        <w:topLinePunct w:val="0"/>
        <w:autoSpaceDE/>
        <w:autoSpaceDN/>
        <w:bidi w:val="0"/>
        <w:adjustRightInd/>
        <w:snapToGrid w:val="0"/>
        <w:spacing w:line="360" w:lineRule="exact"/>
        <w:ind w:firstLine="4554" w:firstLineChars="2160"/>
        <w:textAlignment w:val="auto"/>
        <w:rPr>
          <w:rFonts w:hint="eastAsia"/>
          <w:b/>
          <w:color w:val="000000" w:themeColor="text1"/>
          <w:sz w:val="26"/>
          <w:szCs w:val="2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日</w:t>
      </w:r>
    </w:p>
    <w:p>
      <w:pPr>
        <w:keepNext w:val="0"/>
        <w:keepLines w:val="0"/>
        <w:pageBreakBefore w:val="0"/>
        <w:kinsoku/>
        <w:wordWrap/>
        <w:overflowPunct/>
        <w:topLinePunct w:val="0"/>
        <w:autoSpaceDE/>
        <w:autoSpaceDN/>
        <w:bidi w:val="0"/>
        <w:adjustRightInd/>
        <w:spacing w:beforeLines="50" w:afterLines="50" w:line="360" w:lineRule="exact"/>
        <w:ind w:left="1" w:leftChars="-405" w:hanging="851" w:hangingChars="326"/>
        <w:textAlignment w:val="auto"/>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ind w:leftChars="-231"/>
        <w:textAlignment w:val="auto"/>
        <w:rPr>
          <w:rFonts w:hint="eastAsia"/>
          <w:b/>
          <w:sz w:val="21"/>
          <w:szCs w:val="21"/>
        </w:rPr>
      </w:pPr>
      <w:r>
        <w:rPr>
          <w:rFonts w:hint="eastAsia"/>
          <w:b/>
          <w:bCs/>
          <w:color w:val="000000" w:themeColor="text1"/>
          <w:szCs w:val="21"/>
        </w:rPr>
        <w:t xml:space="preserve">1.  </w:t>
      </w:r>
      <w:r>
        <w:rPr>
          <w:rFonts w:hint="eastAsia"/>
          <w:b/>
          <w:bCs/>
          <w:sz w:val="21"/>
          <w:szCs w:val="21"/>
        </w:rPr>
        <w:t>审核中发现的</w:t>
      </w:r>
      <w:r>
        <w:rPr>
          <w:rFonts w:hint="eastAsia"/>
          <w:b/>
          <w:sz w:val="21"/>
          <w:szCs w:val="21"/>
          <w:lang w:eastAsia="zh-CN"/>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numPr>
          <w:ilvl w:val="0"/>
          <w:numId w:val="0"/>
        </w:numPr>
        <w:kinsoku/>
        <w:wordWrap/>
        <w:overflowPunct/>
        <w:topLinePunct w:val="0"/>
        <w:autoSpaceDE/>
        <w:autoSpaceDN/>
        <w:bidi w:val="0"/>
        <w:adjustRightInd/>
        <w:spacing w:beforeLines="50" w:afterLines="50" w:line="360" w:lineRule="exact"/>
        <w:textAlignment w:val="auto"/>
        <w:rPr>
          <w:rFonts w:hint="eastAsia"/>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2</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napToGrid w:val="0"/>
        <w:spacing w:beforeLines="50" w:afterLines="50" w:line="360" w:lineRule="exact"/>
        <w:textAlignment w:val="auto"/>
        <w:rPr>
          <w:b/>
          <w:color w:val="000000" w:themeColor="text1"/>
          <w:sz w:val="26"/>
          <w:szCs w:val="26"/>
        </w:rPr>
      </w:pPr>
      <w:r>
        <w:rPr>
          <w:rFonts w:hint="eastAsia"/>
          <w:b/>
          <w:bCs/>
          <w:sz w:val="21"/>
          <w:szCs w:val="21"/>
        </w:rPr>
        <w:t>审核中发现的</w:t>
      </w:r>
      <w:r>
        <w:rPr>
          <w:rFonts w:hint="eastAsia"/>
          <w:b/>
          <w:sz w:val="21"/>
          <w:szCs w:val="21"/>
          <w:lang w:eastAsia="zh-CN"/>
        </w:rPr>
        <w:t>☑</w:t>
      </w:r>
      <w:r>
        <w:rPr>
          <w:b/>
          <w:sz w:val="21"/>
          <w:szCs w:val="21"/>
        </w:rPr>
        <w:t>OHSMS (</w:t>
      </w:r>
      <w:r>
        <w:rPr>
          <w:rFonts w:hint="eastAsia"/>
          <w:b/>
          <w:sz w:val="21"/>
          <w:szCs w:val="21"/>
          <w:lang w:val="en-US" w:eastAsia="zh-CN"/>
        </w:rPr>
        <w:t>2</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keepNext w:val="0"/>
        <w:keepLines w:val="0"/>
        <w:pageBreakBefore w:val="0"/>
        <w:widowControl w:val="0"/>
        <w:kinsoku/>
        <w:wordWrap/>
        <w:overflowPunct/>
        <w:topLinePunct w:val="0"/>
        <w:autoSpaceDE/>
        <w:autoSpaceDN/>
        <w:bidi w:val="0"/>
        <w:adjustRightInd/>
        <w:spacing w:line="360" w:lineRule="exact"/>
        <w:textAlignment w:val="auto"/>
        <w:rPr>
          <w:b/>
          <w:color w:val="000000" w:themeColor="text1"/>
          <w:szCs w:val="21"/>
          <w:u w:val="single"/>
        </w:rPr>
      </w:pPr>
      <w:r>
        <w:rPr>
          <w:rFonts w:hint="eastAsia"/>
          <w:b/>
          <w:color w:val="000000" w:themeColor="text1"/>
          <w:szCs w:val="21"/>
        </w:rPr>
        <w:t>存在问题说明及意见：</w:t>
      </w:r>
    </w:p>
    <w:p>
      <w:pPr>
        <w:keepNext w:val="0"/>
        <w:keepLines w:val="0"/>
        <w:pageBreakBefore w:val="0"/>
        <w:widowControl w:val="0"/>
        <w:kinsoku/>
        <w:wordWrap/>
        <w:overflowPunct/>
        <w:topLinePunct w:val="0"/>
        <w:autoSpaceDE/>
        <w:autoSpaceDN/>
        <w:bidi w:val="0"/>
        <w:adjustRightInd/>
        <w:spacing w:afterLines="50" w:line="360" w:lineRule="exact"/>
        <w:ind w:leftChars="-202" w:hanging="424" w:hangingChars="201"/>
        <w:textAlignment w:val="auto"/>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keepNext w:val="0"/>
        <w:keepLines w:val="0"/>
        <w:pageBreakBefore w:val="0"/>
        <w:widowControl w:val="0"/>
        <w:kinsoku/>
        <w:wordWrap/>
        <w:overflowPunct/>
        <w:topLinePunct w:val="0"/>
        <w:autoSpaceDE/>
        <w:autoSpaceDN/>
        <w:bidi w:val="0"/>
        <w:adjustRightInd/>
        <w:spacing w:line="360" w:lineRule="exact"/>
        <w:ind w:firstLine="843" w:firstLineChars="400"/>
        <w:textAlignment w:val="auto"/>
        <w:rPr>
          <w:b/>
          <w:color w:val="000000" w:themeColor="text1"/>
          <w:szCs w:val="21"/>
        </w:rPr>
      </w:pPr>
      <w:r>
        <w:rPr>
          <w:rFonts w:hint="eastAsia"/>
          <w:b/>
          <w:color w:val="000000" w:themeColor="text1"/>
          <w:szCs w:val="21"/>
        </w:rPr>
        <w:drawing>
          <wp:anchor distT="0" distB="0" distL="114300" distR="114300" simplePos="0" relativeHeight="251662336" behindDoc="0" locked="0" layoutInCell="1" allowOverlap="1">
            <wp:simplePos x="0" y="0"/>
            <wp:positionH relativeFrom="column">
              <wp:posOffset>664845</wp:posOffset>
            </wp:positionH>
            <wp:positionV relativeFrom="paragraph">
              <wp:posOffset>158115</wp:posOffset>
            </wp:positionV>
            <wp:extent cx="1160145" cy="55880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60145" cy="558800"/>
                    </a:xfrm>
                    <a:prstGeom prst="rect">
                      <a:avLst/>
                    </a:prstGeom>
                  </pic:spPr>
                </pic:pic>
              </a:graphicData>
            </a:graphic>
          </wp:anchor>
        </w:drawing>
      </w: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keepNext w:val="0"/>
        <w:keepLines w:val="0"/>
        <w:pageBreakBefore w:val="0"/>
        <w:widowControl w:val="0"/>
        <w:kinsoku/>
        <w:wordWrap/>
        <w:overflowPunct/>
        <w:topLinePunct w:val="0"/>
        <w:autoSpaceDE/>
        <w:autoSpaceDN/>
        <w:bidi w:val="0"/>
        <w:adjustRightInd/>
        <w:spacing w:beforeLines="100" w:afterLines="50" w:line="360" w:lineRule="exact"/>
        <w:textAlignment w:val="auto"/>
        <w:rPr>
          <w:b/>
          <w:color w:val="000000" w:themeColor="text1"/>
          <w:szCs w:val="21"/>
        </w:rPr>
      </w:pPr>
      <w:r>
        <w:rPr>
          <w:rFonts w:hint="eastAsia"/>
          <w:b/>
          <w:color w:val="000000" w:themeColor="text1"/>
          <w:szCs w:val="21"/>
        </w:rPr>
        <w:t xml:space="preserve">组长签字:                            </w:t>
      </w:r>
      <w:r>
        <w:rPr>
          <w:rFonts w:hint="eastAsia"/>
          <w:b/>
          <w:color w:val="000000" w:themeColor="text1"/>
          <w:szCs w:val="21"/>
          <w:lang w:val="en-US" w:eastAsia="zh-CN"/>
        </w:rPr>
        <w:t xml:space="preserve">     </w:t>
      </w:r>
      <w:r>
        <w:rPr>
          <w:rFonts w:hint="eastAsia"/>
          <w:b/>
          <w:color w:val="000000" w:themeColor="text1"/>
          <w:szCs w:val="21"/>
        </w:rPr>
        <w:t xml:space="preserve">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line="360" w:lineRule="auto"/>
        <w:ind w:leftChars="-405" w:hanging="1052" w:hangingChars="403"/>
        <w:rPr>
          <w:rFonts w:hint="eastAsia"/>
          <w:b/>
          <w:color w:val="000000" w:themeColor="text1"/>
          <w:sz w:val="26"/>
          <w:szCs w:val="26"/>
        </w:rPr>
      </w:pPr>
    </w:p>
    <w:p>
      <w:pPr>
        <w:spacing w:line="360" w:lineRule="auto"/>
        <w:ind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9"/>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9"/>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rFonts w:hint="eastAsia"/>
          <w:b/>
          <w:color w:val="000000" w:themeColor="text1"/>
          <w:sz w:val="26"/>
          <w:szCs w:val="26"/>
        </w:rPr>
      </w:pP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pacing w:beforeLines="50" w:afterLines="50" w:line="240" w:lineRule="exact"/>
        <w:ind w:left="1" w:leftChars="-405" w:hanging="851" w:hangingChars="326"/>
        <w:rPr>
          <w:rFonts w:hint="eastAsia"/>
          <w:b/>
          <w:color w:val="000000" w:themeColor="text1"/>
          <w:sz w:val="26"/>
          <w:szCs w:val="26"/>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eastAsia="zh-CN"/>
        </w:rPr>
        <w:t>：</w:t>
      </w:r>
      <w:r>
        <w:rPr>
          <w:rFonts w:hint="eastAsia"/>
          <w:b/>
          <w:color w:val="000000" w:themeColor="text1"/>
        </w:rPr>
        <w:t>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hint="eastAsia" w:ascii="宋体" w:hAnsi="宋体"/>
          <w:b/>
          <w:color w:val="000000" w:themeColor="text1"/>
          <w:sz w:val="26"/>
          <w:szCs w:val="26"/>
        </w:rPr>
      </w:pP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pacing w:line="360" w:lineRule="auto"/>
        <w:ind w:left="1" w:leftChars="-405" w:hanging="851" w:hangingChars="326"/>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4" w:name="_Hlk8555230"/>
    <w:r>
      <w:pict>
        <v:shape id="文本框 1" o:spid="_x0000_s2050"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4"/>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60283"/>
    <w:multiLevelType w:val="singleLevel"/>
    <w:tmpl w:val="81960283"/>
    <w:lvl w:ilvl="0" w:tentative="0">
      <w:start w:val="8"/>
      <w:numFmt w:val="decimal"/>
      <w:suff w:val="space"/>
      <w:lvlText w:val="%1."/>
      <w:lvlJc w:val="left"/>
    </w:lvl>
  </w:abstractNum>
  <w:abstractNum w:abstractNumId="1">
    <w:nsid w:val="912EFB11"/>
    <w:multiLevelType w:val="singleLevel"/>
    <w:tmpl w:val="912EFB11"/>
    <w:lvl w:ilvl="0" w:tentative="0">
      <w:start w:val="4"/>
      <w:numFmt w:val="decimal"/>
      <w:lvlText w:val="%1."/>
      <w:lvlJc w:val="left"/>
      <w:pPr>
        <w:tabs>
          <w:tab w:val="left" w:pos="312"/>
        </w:tabs>
      </w:pPr>
    </w:lvl>
  </w:abstractNum>
  <w:abstractNum w:abstractNumId="2">
    <w:nsid w:val="C74FEE95"/>
    <w:multiLevelType w:val="singleLevel"/>
    <w:tmpl w:val="C74FEE95"/>
    <w:lvl w:ilvl="0" w:tentative="0">
      <w:start w:val="2"/>
      <w:numFmt w:val="decimal"/>
      <w:suff w:val="nothing"/>
      <w:lvlText w:val="%1、"/>
      <w:lvlJc w:val="left"/>
    </w:lvl>
  </w:abstractNum>
  <w:abstractNum w:abstractNumId="3">
    <w:nsid w:val="04016EC4"/>
    <w:multiLevelType w:val="singleLevel"/>
    <w:tmpl w:val="04016EC4"/>
    <w:lvl w:ilvl="0" w:tentative="0">
      <w:start w:val="2"/>
      <w:numFmt w:val="decimal"/>
      <w:lvlText w:val="%1."/>
      <w:lvlJc w:val="left"/>
      <w:pPr>
        <w:tabs>
          <w:tab w:val="left" w:pos="312"/>
        </w:tabs>
      </w:pPr>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73FC62"/>
    <w:multiLevelType w:val="singleLevel"/>
    <w:tmpl w:val="5F73FC62"/>
    <w:lvl w:ilvl="0" w:tentative="0">
      <w:start w:val="9"/>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8">
    <w:nsid w:val="7BC294AD"/>
    <w:multiLevelType w:val="singleLevel"/>
    <w:tmpl w:val="7BC294AD"/>
    <w:lvl w:ilvl="0" w:tentative="0">
      <w:start w:val="5"/>
      <w:numFmt w:val="decimal"/>
      <w:suff w:val="space"/>
      <w:lvlText w:val="%1."/>
      <w:lvlJc w:val="left"/>
    </w:lvl>
  </w:abstractNum>
  <w:num w:numId="1">
    <w:abstractNumId w:val="4"/>
  </w:num>
  <w:num w:numId="2">
    <w:abstractNumId w:val="2"/>
  </w:num>
  <w:num w:numId="3">
    <w:abstractNumId w:val="5"/>
  </w:num>
  <w:num w:numId="4">
    <w:abstractNumId w:val="0"/>
  </w:num>
  <w:num w:numId="5">
    <w:abstractNumId w:val="3"/>
  </w:num>
  <w:num w:numId="6">
    <w:abstractNumId w:val="8"/>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712F52"/>
    <w:rsid w:val="00770469"/>
    <w:rsid w:val="00775D3A"/>
    <w:rsid w:val="007C4DD7"/>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35F6"/>
    <w:rsid w:val="00A34B5C"/>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E2D5C"/>
    <w:rsid w:val="00EF1481"/>
    <w:rsid w:val="00F326DC"/>
    <w:rsid w:val="00F32AFF"/>
    <w:rsid w:val="00F64301"/>
    <w:rsid w:val="00F86288"/>
    <w:rsid w:val="00FA5C98"/>
    <w:rsid w:val="00FD38F7"/>
    <w:rsid w:val="00FD6EB5"/>
    <w:rsid w:val="00FF6078"/>
    <w:rsid w:val="079F1A37"/>
    <w:rsid w:val="0BDA2519"/>
    <w:rsid w:val="0D8245B3"/>
    <w:rsid w:val="0FBD207B"/>
    <w:rsid w:val="12DE6430"/>
    <w:rsid w:val="16390561"/>
    <w:rsid w:val="1C440198"/>
    <w:rsid w:val="21611269"/>
    <w:rsid w:val="22DF6A1C"/>
    <w:rsid w:val="38E17875"/>
    <w:rsid w:val="3AFE3AFE"/>
    <w:rsid w:val="3C6210A8"/>
    <w:rsid w:val="3D5A52DA"/>
    <w:rsid w:val="41311C61"/>
    <w:rsid w:val="4A927D7E"/>
    <w:rsid w:val="4AF62B75"/>
    <w:rsid w:val="4B4A3A22"/>
    <w:rsid w:val="4BA44912"/>
    <w:rsid w:val="4EBE37BE"/>
    <w:rsid w:val="57A97EAC"/>
    <w:rsid w:val="58A67D63"/>
    <w:rsid w:val="58BD1AE1"/>
    <w:rsid w:val="5A653F63"/>
    <w:rsid w:val="5CDD1C2D"/>
    <w:rsid w:val="5F7C586A"/>
    <w:rsid w:val="60F21181"/>
    <w:rsid w:val="6F1B4CB1"/>
    <w:rsid w:val="73A50094"/>
    <w:rsid w:val="74621369"/>
    <w:rsid w:val="7D426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2"/>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8243</Words>
  <Characters>9355</Characters>
  <Lines>36</Lines>
  <Paragraphs>10</Paragraphs>
  <TotalTime>4</TotalTime>
  <ScaleCrop>false</ScaleCrop>
  <LinksUpToDate>false</LinksUpToDate>
  <CharactersWithSpaces>9674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2019-10-07T03:18:00Z</cp:lastPrinted>
  <dcterms:modified xsi:type="dcterms:W3CDTF">2021-05-05T14:25:30Z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D27562F154284710945D33F77A0FC940</vt:lpwstr>
  </property>
</Properties>
</file>