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0338-2021-EO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重庆市同讯电力实业有限公司</w:t>
      </w:r>
      <w:bookmarkEnd w:id="1"/>
    </w:p>
    <w:p>
      <w:pPr>
        <w:pStyle w:val="2"/>
        <w:spacing w:line="400" w:lineRule="exact"/>
        <w:ind w:firstLine="632" w:firstLineChars="286"/>
        <w:rPr>
          <w:b/>
          <w:color w:val="000000" w:themeColor="text1"/>
          <w:sz w:val="21"/>
          <w:szCs w:val="21"/>
          <w:u w:val="single"/>
        </w:rPr>
      </w:pPr>
      <w:r>
        <w:rPr>
          <w:rFonts w:hint="eastAsia"/>
          <w:b/>
          <w:color w:val="000000" w:themeColor="text1"/>
          <w:sz w:val="22"/>
          <w:szCs w:val="22"/>
        </w:rPr>
        <w:t>(英文)：</w:t>
      </w:r>
      <w:bookmarkStart w:id="2" w:name="组织名称英"/>
      <w:bookmarkEnd w:id="2"/>
      <w:r>
        <w:rPr>
          <w:rFonts w:hint="eastAsia" w:cs="Arial"/>
          <w:color w:val="333333"/>
          <w:sz w:val="21"/>
          <w:szCs w:val="21"/>
        </w:rPr>
        <w:t>Chongqing Tongxun Power Industry Co. , Ltd.</w:t>
      </w:r>
    </w:p>
    <w:p>
      <w:pPr>
        <w:pStyle w:val="2"/>
        <w:spacing w:line="400" w:lineRule="exact"/>
        <w:ind w:firstLine="0"/>
        <w:rPr>
          <w:b/>
          <w:color w:val="000000" w:themeColor="text1"/>
          <w:sz w:val="21"/>
          <w:szCs w:val="21"/>
          <w:u w:val="single"/>
        </w:rPr>
      </w:pPr>
      <w:r>
        <w:rPr>
          <w:rFonts w:hint="eastAsia"/>
          <w:b/>
          <w:color w:val="000000" w:themeColor="text1"/>
          <w:sz w:val="21"/>
          <w:szCs w:val="21"/>
        </w:rPr>
        <w:t>组织注册地址(中文)：</w:t>
      </w:r>
      <w:bookmarkStart w:id="3" w:name="注册地址"/>
      <w:r>
        <w:rPr>
          <w:rFonts w:hint="eastAsia"/>
          <w:b/>
          <w:color w:val="000000" w:themeColor="text1"/>
          <w:sz w:val="21"/>
          <w:szCs w:val="21"/>
        </w:rPr>
        <w:t>重庆市涪陵区新城区鹤凤大道6号</w:t>
      </w:r>
      <w:bookmarkEnd w:id="3"/>
      <w:r>
        <w:rPr>
          <w:rFonts w:hint="eastAsia"/>
          <w:b/>
          <w:color w:val="000000" w:themeColor="text1"/>
          <w:sz w:val="21"/>
          <w:szCs w:val="21"/>
        </w:rPr>
        <w:t>邮编</w:t>
      </w:r>
      <w:r>
        <w:rPr>
          <w:rFonts w:hint="eastAsia" w:ascii="宋体" w:hAnsi="宋体"/>
          <w:b/>
          <w:color w:val="000000" w:themeColor="text1"/>
          <w:sz w:val="21"/>
          <w:szCs w:val="21"/>
        </w:rPr>
        <w:t xml:space="preserve">: </w:t>
      </w:r>
      <w:bookmarkStart w:id="4" w:name="注册邮编"/>
      <w:r>
        <w:rPr>
          <w:b/>
          <w:color w:val="000000" w:themeColor="text1"/>
          <w:sz w:val="21"/>
          <w:szCs w:val="21"/>
          <w:u w:val="single"/>
        </w:rPr>
        <w:t>400000</w:t>
      </w:r>
      <w:bookmarkEnd w:id="4"/>
    </w:p>
    <w:p>
      <w:pPr>
        <w:pStyle w:val="2"/>
        <w:spacing w:line="400" w:lineRule="exact"/>
        <w:ind w:firstLine="603" w:firstLineChars="286"/>
        <w:rPr>
          <w:b/>
          <w:color w:val="000000" w:themeColor="text1"/>
          <w:sz w:val="21"/>
          <w:szCs w:val="21"/>
          <w:u w:val="single"/>
        </w:rPr>
      </w:pPr>
      <w:r>
        <w:rPr>
          <w:rFonts w:hint="eastAsia"/>
          <w:b/>
          <w:color w:val="000000" w:themeColor="text1"/>
          <w:sz w:val="21"/>
          <w:szCs w:val="21"/>
        </w:rPr>
        <w:t>(英文)：</w:t>
      </w:r>
      <w:r>
        <w:rPr>
          <w:rFonts w:hint="eastAsia"/>
          <w:b/>
          <w:color w:val="000000" w:themeColor="text1"/>
          <w:sz w:val="21"/>
          <w:szCs w:val="21"/>
          <w:lang w:val="en-US"/>
        </w:rPr>
        <w:t>No. 6 Hefeng Avenue, Xincheng District, Fuling District, Chongqing</w:t>
      </w:r>
    </w:p>
    <w:p>
      <w:pPr>
        <w:pStyle w:val="2"/>
        <w:spacing w:line="400" w:lineRule="exact"/>
        <w:ind w:firstLine="0"/>
        <w:rPr>
          <w:b/>
          <w:color w:val="000000" w:themeColor="text1"/>
          <w:sz w:val="21"/>
          <w:szCs w:val="21"/>
        </w:rPr>
      </w:pPr>
      <w:r>
        <w:rPr>
          <w:rFonts w:hint="eastAsia"/>
          <w:b/>
          <w:color w:val="000000" w:themeColor="text1"/>
          <w:spacing w:val="-2"/>
          <w:sz w:val="21"/>
          <w:szCs w:val="21"/>
        </w:rPr>
        <w:t>□</w:t>
      </w:r>
      <w:r>
        <w:rPr>
          <w:rFonts w:hint="eastAsia"/>
          <w:b/>
          <w:color w:val="000000" w:themeColor="text1"/>
          <w:sz w:val="21"/>
          <w:szCs w:val="21"/>
        </w:rPr>
        <w:t>组织经营地址(中文)：</w:t>
      </w:r>
      <w:bookmarkStart w:id="5" w:name="生产地址"/>
      <w:r>
        <w:rPr>
          <w:rFonts w:hint="eastAsia"/>
          <w:b/>
          <w:color w:val="000000" w:themeColor="text1"/>
          <w:sz w:val="21"/>
          <w:szCs w:val="21"/>
        </w:rPr>
        <w:t>重庆市涪陵区新城区鹤凤大道27号</w:t>
      </w:r>
      <w:bookmarkEnd w:id="5"/>
      <w:r>
        <w:rPr>
          <w:rFonts w:hint="eastAsia"/>
          <w:b/>
          <w:color w:val="000000" w:themeColor="text1"/>
          <w:sz w:val="21"/>
          <w:szCs w:val="21"/>
        </w:rPr>
        <w:t>邮编</w:t>
      </w:r>
      <w:r>
        <w:rPr>
          <w:rFonts w:hint="eastAsia" w:ascii="宋体" w:hAnsi="宋体"/>
          <w:b/>
          <w:color w:val="000000" w:themeColor="text1"/>
          <w:sz w:val="21"/>
          <w:szCs w:val="21"/>
        </w:rPr>
        <w:t>:</w:t>
      </w:r>
      <w:bookmarkStart w:id="6" w:name="生产邮编"/>
      <w:r>
        <w:rPr>
          <w:b/>
          <w:color w:val="000000" w:themeColor="text1"/>
          <w:sz w:val="21"/>
          <w:szCs w:val="21"/>
        </w:rPr>
        <w:t>400000</w:t>
      </w:r>
      <w:bookmarkEnd w:id="6"/>
    </w:p>
    <w:p>
      <w:pPr>
        <w:pStyle w:val="2"/>
        <w:spacing w:line="400" w:lineRule="exact"/>
        <w:ind w:firstLine="603" w:firstLineChars="286"/>
        <w:rPr>
          <w:b/>
          <w:color w:val="000000" w:themeColor="text1"/>
          <w:sz w:val="21"/>
          <w:szCs w:val="21"/>
          <w:u w:val="single"/>
        </w:rPr>
      </w:pPr>
      <w:r>
        <w:rPr>
          <w:rFonts w:hint="eastAsia"/>
          <w:b/>
          <w:color w:val="000000" w:themeColor="text1"/>
          <w:sz w:val="21"/>
          <w:szCs w:val="21"/>
        </w:rPr>
        <w:t>(英文)：</w:t>
      </w:r>
      <w:r>
        <w:rPr>
          <w:rFonts w:hint="eastAsia"/>
          <w:b/>
          <w:color w:val="000000" w:themeColor="text1"/>
          <w:sz w:val="21"/>
          <w:szCs w:val="21"/>
          <w:lang w:val="en-US"/>
        </w:rPr>
        <w:t xml:space="preserve">No. </w:t>
      </w:r>
      <w:r>
        <w:rPr>
          <w:rFonts w:hint="eastAsia"/>
          <w:b/>
          <w:color w:val="000000" w:themeColor="text1"/>
          <w:sz w:val="21"/>
          <w:szCs w:val="21"/>
          <w:lang w:val="en-US" w:eastAsia="zh-CN"/>
        </w:rPr>
        <w:t>27</w:t>
      </w:r>
      <w:r>
        <w:rPr>
          <w:rFonts w:hint="eastAsia"/>
          <w:b/>
          <w:color w:val="000000" w:themeColor="text1"/>
          <w:sz w:val="21"/>
          <w:szCs w:val="21"/>
          <w:lang w:val="en-US"/>
        </w:rPr>
        <w:t xml:space="preserve"> Hefeng Avenue, Xincheng District, Fuling District, Chongqing</w:t>
      </w:r>
    </w:p>
    <w:p>
      <w:pPr>
        <w:pStyle w:val="2"/>
        <w:spacing w:line="400" w:lineRule="atLeas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91500102208502915E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18290325545</w:t>
      </w:r>
      <w:bookmarkEnd w:id="9"/>
    </w:p>
    <w:p>
      <w:pPr>
        <w:pStyle w:val="2"/>
        <w:spacing w:beforeLines="50" w:line="400" w:lineRule="atLeas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陆长青</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杨元德</w:t>
      </w:r>
      <w:bookmarkEnd w:id="11"/>
      <w:r>
        <w:rPr>
          <w:rFonts w:hint="eastAsia"/>
          <w:b/>
          <w:color w:val="000000" w:themeColor="text1"/>
          <w:sz w:val="22"/>
          <w:szCs w:val="22"/>
        </w:rPr>
        <w:t xml:space="preserve">      组织人数：</w:t>
      </w:r>
      <w:bookmarkStart w:id="12" w:name="企业人数"/>
      <w:r>
        <w:rPr>
          <w:b/>
          <w:color w:val="000000" w:themeColor="text1"/>
          <w:sz w:val="22"/>
          <w:szCs w:val="22"/>
        </w:rPr>
        <w:t>55</w:t>
      </w:r>
      <w:bookmarkEnd w:id="12"/>
    </w:p>
    <w:p>
      <w:pPr>
        <w:pStyle w:val="2"/>
        <w:spacing w:line="400" w:lineRule="atLeas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p>
    <w:p>
      <w:pPr>
        <w:pStyle w:val="2"/>
        <w:spacing w:line="400" w:lineRule="atLeast"/>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400" w:lineRule="atLeas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00" w:lineRule="atLeast"/>
        <w:ind w:firstLine="0"/>
        <w:rPr>
          <w:b/>
          <w:color w:val="000000" w:themeColor="text1"/>
          <w:sz w:val="22"/>
          <w:szCs w:val="22"/>
          <w:u w:val="single"/>
        </w:rPr>
      </w:pPr>
      <w:bookmarkStart w:id="15" w:name="审核范围"/>
      <w:r>
        <w:rPr>
          <w:rFonts w:hint="eastAsia"/>
          <w:b/>
          <w:color w:val="000000" w:themeColor="text1"/>
          <w:sz w:val="22"/>
          <w:szCs w:val="22"/>
        </w:rPr>
        <w:t>E：高压成套开关设备和箱式变电站的生产；资质许可范围内低压成套开关设备的生产；电力工程施工、安装、检修、试验所涉及场所的相关环境管理活动</w:t>
      </w:r>
    </w:p>
    <w:p>
      <w:pPr>
        <w:pStyle w:val="2"/>
        <w:spacing w:line="400" w:lineRule="atLeast"/>
        <w:ind w:firstLine="0"/>
        <w:rPr>
          <w:b/>
          <w:color w:val="000000" w:themeColor="text1"/>
          <w:sz w:val="22"/>
          <w:szCs w:val="22"/>
          <w:u w:val="single"/>
        </w:rPr>
      </w:pPr>
      <w:r>
        <w:rPr>
          <w:rFonts w:hint="eastAsia"/>
          <w:b/>
          <w:color w:val="000000" w:themeColor="text1"/>
          <w:sz w:val="22"/>
          <w:szCs w:val="22"/>
        </w:rPr>
        <w:t>O：高压成套开关设备和箱式变电站的生产；资质许可范围内低压成套开关设备的生产；电力工程施工、安装、检修、试验所涉及场所的相关职业健康安全管理活动</w:t>
      </w:r>
      <w:bookmarkEnd w:id="15"/>
    </w:p>
    <w:p>
      <w:pPr>
        <w:pStyle w:val="5"/>
        <w:shd w:val="clear" w:color="auto" w:fill="F2F2F2"/>
        <w:spacing w:line="360" w:lineRule="atLeast"/>
        <w:textAlignment w:val="top"/>
        <w:rPr>
          <w:rFonts w:asciiTheme="minorEastAsia" w:hAnsiTheme="minorEastAsia" w:eastAsiaTheme="minorEastAsia"/>
          <w:color w:val="333333"/>
          <w:sz w:val="21"/>
          <w:szCs w:val="21"/>
        </w:rPr>
      </w:pPr>
      <w:r>
        <w:rPr>
          <w:rFonts w:hint="eastAsia"/>
          <w:b/>
          <w:color w:val="000000" w:themeColor="text1"/>
          <w:sz w:val="22"/>
          <w:szCs w:val="22"/>
        </w:rPr>
        <w:t>□EMS（英文：）：</w:t>
      </w:r>
      <w:r>
        <w:rPr>
          <w:rFonts w:hint="eastAsia" w:asciiTheme="minorEastAsia" w:hAnsiTheme="minorEastAsia" w:eastAsiaTheme="minorEastAsia"/>
          <w:color w:val="333333"/>
          <w:sz w:val="21"/>
          <w:szCs w:val="21"/>
        </w:rPr>
        <w:t>Production of high voltage switchgear and box type substation; Production of low voltage switchgear within the scope of qualification; Relevant environmental management activities of places involved in electric power engineering construction, installation, maintenance and test</w:t>
      </w:r>
    </w:p>
    <w:p>
      <w:pPr>
        <w:pStyle w:val="5"/>
        <w:shd w:val="clear" w:color="auto" w:fill="F2F2F2"/>
        <w:spacing w:line="360" w:lineRule="atLeast"/>
        <w:textAlignment w:val="top"/>
        <w:rPr>
          <w:rFonts w:asciiTheme="minorEastAsia" w:hAnsiTheme="minorEastAsia" w:eastAsiaTheme="minorEastAsia"/>
          <w:color w:val="333333"/>
          <w:sz w:val="21"/>
          <w:szCs w:val="21"/>
        </w:rPr>
      </w:pPr>
      <w:r>
        <w:rPr>
          <w:rFonts w:hint="eastAsia"/>
          <w:b/>
          <w:color w:val="000000" w:themeColor="text1"/>
          <w:sz w:val="22"/>
          <w:szCs w:val="22"/>
        </w:rPr>
        <w:t>□OHSMS（英文：）</w:t>
      </w:r>
      <w:r>
        <w:rPr>
          <w:rFonts w:hint="eastAsia" w:asciiTheme="minorEastAsia" w:hAnsiTheme="minorEastAsia" w:eastAsiaTheme="minorEastAsia"/>
          <w:color w:val="333333"/>
          <w:sz w:val="21"/>
          <w:szCs w:val="21"/>
        </w:rPr>
        <w:t>Production of high voltage switchgear and box type substation; Production of low voltage switchg</w:t>
      </w:r>
      <w:bookmarkStart w:id="16" w:name="_GoBack"/>
      <w:bookmarkEnd w:id="16"/>
      <w:r>
        <w:rPr>
          <w:rFonts w:hint="eastAsia" w:asciiTheme="minorEastAsia" w:hAnsiTheme="minorEastAsia" w:eastAsiaTheme="minorEastAsia"/>
          <w:color w:val="333333"/>
          <w:sz w:val="21"/>
          <w:szCs w:val="21"/>
        </w:rPr>
        <w:t>ear within the scope of qualification; Relevant occupational health and safety management activities in places involved in construction, installation, maintenance and test of power engineering</w:t>
      </w:r>
    </w:p>
    <w:p>
      <w:pPr>
        <w:pStyle w:val="2"/>
        <w:spacing w:line="400" w:lineRule="atLeas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00" w:lineRule="atLeas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00" w:lineRule="atLeast"/>
        <w:ind w:firstLine="0"/>
        <w:rPr>
          <w:b/>
          <w:color w:val="000000" w:themeColor="text1"/>
          <w:sz w:val="22"/>
          <w:szCs w:val="22"/>
        </w:rPr>
      </w:pPr>
      <w:r>
        <w:rPr>
          <w:rFonts w:hint="eastAsia" w:ascii="宋体" w:hAnsi="宋体"/>
          <w:sz w:val="21"/>
          <w:szCs w:val="22"/>
        </w:rPr>
        <w:drawing>
          <wp:anchor distT="0" distB="0" distL="114300" distR="114300" simplePos="0" relativeHeight="251662336" behindDoc="0" locked="0" layoutInCell="1" allowOverlap="1">
            <wp:simplePos x="0" y="0"/>
            <wp:positionH relativeFrom="column">
              <wp:posOffset>3997960</wp:posOffset>
            </wp:positionH>
            <wp:positionV relativeFrom="paragraph">
              <wp:posOffset>198120</wp:posOffset>
            </wp:positionV>
            <wp:extent cx="358775" cy="332105"/>
            <wp:effectExtent l="0" t="0" r="6985" b="3175"/>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5" cstate="print"/>
                    <a:stretch>
                      <a:fillRect/>
                    </a:stretch>
                  </pic:blipFill>
                  <pic:spPr>
                    <a:xfrm>
                      <a:off x="0" y="0"/>
                      <a:ext cx="358775" cy="332105"/>
                    </a:xfrm>
                    <a:prstGeom prst="rect">
                      <a:avLst/>
                    </a:prstGeom>
                    <a:noFill/>
                    <a:ln>
                      <a:noFill/>
                    </a:ln>
                  </pic:spPr>
                </pic:pic>
              </a:graphicData>
            </a:graphic>
          </wp:anchor>
        </w:drawing>
      </w:r>
    </w:p>
    <w:p>
      <w:pPr>
        <w:pStyle w:val="2"/>
        <w:spacing w:line="400" w:lineRule="atLeas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400" w:lineRule="atLeast"/>
        <w:ind w:firstLine="0"/>
        <w:rPr>
          <w:b/>
          <w:color w:val="000000" w:themeColor="text1"/>
          <w:sz w:val="22"/>
          <w:szCs w:val="22"/>
        </w:rPr>
      </w:pPr>
      <w:r>
        <w:rPr>
          <w:rFonts w:hint="eastAsia"/>
          <w:b/>
          <w:color w:val="000000" w:themeColor="text1"/>
          <w:sz w:val="22"/>
          <w:szCs w:val="22"/>
        </w:rPr>
        <w:t>日期：2021年04月27日                      日期：2021年04月27日</w:t>
      </w:r>
    </w:p>
    <w:p>
      <w:pPr>
        <w:pStyle w:val="2"/>
        <w:spacing w:line="400" w:lineRule="atLeast"/>
        <w:ind w:firstLine="0"/>
        <w:rPr>
          <w:b/>
          <w:color w:val="000000" w:themeColor="text1"/>
          <w:sz w:val="22"/>
          <w:szCs w:val="22"/>
        </w:rPr>
      </w:pPr>
      <w:r>
        <w:rPr>
          <w:rFonts w:hint="eastAsia"/>
          <w:b/>
          <w:color w:val="000000" w:themeColor="text1"/>
          <w:sz w:val="22"/>
          <w:szCs w:val="22"/>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79AB"/>
    <w:rsid w:val="003A79AB"/>
    <w:rsid w:val="005573E4"/>
    <w:rsid w:val="00CE792B"/>
    <w:rsid w:val="00DE30BC"/>
    <w:rsid w:val="3D8546BA"/>
    <w:rsid w:val="5A0069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jc w:val="left"/>
    </w:pPr>
    <w:rPr>
      <w:rFonts w:ascii="宋体" w:hAnsi="宋体" w:cs="宋体"/>
      <w:kern w:val="0"/>
      <w:szCs w:val="24"/>
    </w:rPr>
  </w:style>
  <w:style w:type="character" w:styleId="8">
    <w:name w:val="Hyperlink"/>
    <w:basedOn w:val="7"/>
    <w:qFormat/>
    <w:uiPriority w:val="0"/>
    <w:rPr>
      <w:color w:val="0000FF" w:themeColor="hyperlink"/>
      <w:u w:val="single"/>
    </w:rPr>
  </w:style>
  <w:style w:type="character" w:customStyle="1" w:styleId="9">
    <w:name w:val="正文文本缩进 Char"/>
    <w:basedOn w:val="7"/>
    <w:link w:val="2"/>
    <w:qFormat/>
    <w:uiPriority w:val="0"/>
    <w:rPr>
      <w:rFonts w:ascii="Times New Roman" w:hAnsi="Times New Roman" w:eastAsia="宋体" w:cs="Times New Roman"/>
      <w:sz w:val="32"/>
      <w:szCs w:val="20"/>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265</Words>
  <Characters>1511</Characters>
  <Lines>12</Lines>
  <Paragraphs>3</Paragraphs>
  <TotalTime>10</TotalTime>
  <ScaleCrop>false</ScaleCrop>
  <LinksUpToDate>false</LinksUpToDate>
  <CharactersWithSpaces>1773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第七代导演</cp:lastModifiedBy>
  <cp:lastPrinted>2019-05-13T03:13:00Z</cp:lastPrinted>
  <dcterms:modified xsi:type="dcterms:W3CDTF">2021-04-27T06:16:30Z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E385EEE2710842FBAE1654DD893F67AA</vt:lpwstr>
  </property>
</Properties>
</file>