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四川众弘成物业服务有限公司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br w:type="page"/>
      </w: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2513"/>
        <w:gridCol w:w="179"/>
        <w:gridCol w:w="850"/>
        <w:gridCol w:w="171"/>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2513" w:type="dxa"/>
            <w:vAlign w:val="center"/>
          </w:tcPr>
          <w:p>
            <w:pPr>
              <w:jc w:val="center"/>
              <w:rPr>
                <w:b/>
                <w:sz w:val="21"/>
                <w:szCs w:val="21"/>
              </w:rPr>
            </w:pPr>
            <w:r>
              <w:rPr>
                <w:rFonts w:hint="eastAsia"/>
                <w:b/>
                <w:sz w:val="21"/>
                <w:szCs w:val="21"/>
              </w:rPr>
              <w:t>审核员注册号</w:t>
            </w:r>
          </w:p>
        </w:tc>
        <w:tc>
          <w:tcPr>
            <w:tcW w:w="1200" w:type="dxa"/>
            <w:gridSpan w:val="3"/>
            <w:vAlign w:val="center"/>
          </w:tcPr>
          <w:p>
            <w:pPr>
              <w:jc w:val="center"/>
              <w:rPr>
                <w:b/>
                <w:sz w:val="21"/>
                <w:szCs w:val="21"/>
              </w:rPr>
            </w:pPr>
            <w:r>
              <w:rPr>
                <w:rFonts w:hint="eastAsia"/>
                <w:b/>
                <w:sz w:val="21"/>
                <w:szCs w:val="21"/>
              </w:rPr>
              <w:t>专业代码</w:t>
            </w:r>
          </w:p>
        </w:tc>
        <w:tc>
          <w:tcPr>
            <w:tcW w:w="1443"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O:审核员</w:t>
            </w:r>
          </w:p>
          <w:p>
            <w:pPr>
              <w:jc w:val="center"/>
              <w:rPr>
                <w:b/>
                <w:sz w:val="21"/>
                <w:szCs w:val="21"/>
              </w:rPr>
            </w:pPr>
            <w:r>
              <w:rPr>
                <w:b/>
                <w:sz w:val="21"/>
                <w:szCs w:val="21"/>
              </w:rPr>
              <w:t>Q:审核员</w:t>
            </w:r>
          </w:p>
          <w:p>
            <w:pPr>
              <w:jc w:val="center"/>
              <w:rPr>
                <w:b/>
                <w:sz w:val="21"/>
                <w:szCs w:val="21"/>
              </w:rPr>
            </w:pPr>
            <w:r>
              <w:rPr>
                <w:b/>
                <w:sz w:val="21"/>
                <w:szCs w:val="21"/>
              </w:rPr>
              <w:t>E:审核员</w:t>
            </w:r>
          </w:p>
        </w:tc>
        <w:tc>
          <w:tcPr>
            <w:tcW w:w="2513" w:type="dxa"/>
            <w:vAlign w:val="center"/>
          </w:tcPr>
          <w:p>
            <w:pPr>
              <w:jc w:val="center"/>
              <w:rPr>
                <w:b/>
                <w:sz w:val="21"/>
                <w:szCs w:val="21"/>
              </w:rPr>
            </w:pPr>
            <w:r>
              <w:rPr>
                <w:b/>
                <w:sz w:val="21"/>
                <w:szCs w:val="21"/>
              </w:rPr>
              <w:t>2019-N1OHSMS-2093566</w:t>
            </w:r>
          </w:p>
          <w:p>
            <w:pPr>
              <w:jc w:val="center"/>
              <w:rPr>
                <w:b/>
                <w:sz w:val="21"/>
                <w:szCs w:val="21"/>
              </w:rPr>
            </w:pPr>
            <w:r>
              <w:rPr>
                <w:b/>
                <w:sz w:val="21"/>
                <w:szCs w:val="21"/>
              </w:rPr>
              <w:t>2019-N1QMS-3093566</w:t>
            </w:r>
          </w:p>
          <w:p>
            <w:pPr>
              <w:jc w:val="center"/>
              <w:rPr>
                <w:b/>
                <w:sz w:val="21"/>
                <w:szCs w:val="21"/>
              </w:rPr>
            </w:pPr>
            <w:r>
              <w:rPr>
                <w:b/>
                <w:sz w:val="21"/>
                <w:szCs w:val="21"/>
              </w:rPr>
              <w:t>2018-N1EMS-2093566</w:t>
            </w:r>
          </w:p>
        </w:tc>
        <w:tc>
          <w:tcPr>
            <w:tcW w:w="1200" w:type="dxa"/>
            <w:gridSpan w:val="3"/>
            <w:vAlign w:val="center"/>
          </w:tcPr>
          <w:p>
            <w:pPr>
              <w:jc w:val="center"/>
              <w:rPr>
                <w:b/>
                <w:sz w:val="21"/>
                <w:szCs w:val="21"/>
              </w:rPr>
            </w:pPr>
            <w:r>
              <w:rPr>
                <w:b/>
                <w:sz w:val="21"/>
                <w:szCs w:val="21"/>
              </w:rPr>
              <w:t>O:35.15.00</w:t>
            </w:r>
          </w:p>
          <w:p>
            <w:pPr>
              <w:jc w:val="center"/>
              <w:rPr>
                <w:b/>
                <w:sz w:val="21"/>
                <w:szCs w:val="21"/>
              </w:rPr>
            </w:pPr>
            <w:r>
              <w:rPr>
                <w:b/>
                <w:sz w:val="21"/>
                <w:szCs w:val="21"/>
              </w:rPr>
              <w:t>Q:35.15.00</w:t>
            </w:r>
          </w:p>
          <w:p>
            <w:pPr>
              <w:jc w:val="center"/>
              <w:rPr>
                <w:b/>
                <w:sz w:val="21"/>
                <w:szCs w:val="21"/>
              </w:rPr>
            </w:pPr>
            <w:r>
              <w:rPr>
                <w:b/>
                <w:sz w:val="21"/>
                <w:szCs w:val="21"/>
              </w:rPr>
              <w:t>E:35.15.00</w:t>
            </w:r>
          </w:p>
        </w:tc>
        <w:tc>
          <w:tcPr>
            <w:tcW w:w="1443" w:type="dxa"/>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513" w:type="dxa"/>
            <w:vAlign w:val="center"/>
          </w:tcPr>
          <w:p>
            <w:pPr>
              <w:jc w:val="center"/>
              <w:rPr>
                <w:b/>
                <w:sz w:val="21"/>
                <w:szCs w:val="21"/>
              </w:rPr>
            </w:pPr>
            <w:r>
              <w:rPr>
                <w:b/>
                <w:sz w:val="21"/>
                <w:szCs w:val="21"/>
              </w:rPr>
              <w:t>2020-N1QMS-1267598</w:t>
            </w:r>
          </w:p>
          <w:p>
            <w:pPr>
              <w:jc w:val="center"/>
              <w:rPr>
                <w:b/>
                <w:sz w:val="21"/>
                <w:szCs w:val="21"/>
              </w:rPr>
            </w:pPr>
            <w:r>
              <w:rPr>
                <w:b/>
                <w:sz w:val="21"/>
                <w:szCs w:val="21"/>
              </w:rPr>
              <w:t>2020-N1EMS-1267598</w:t>
            </w:r>
          </w:p>
        </w:tc>
        <w:tc>
          <w:tcPr>
            <w:tcW w:w="1200" w:type="dxa"/>
            <w:gridSpan w:val="3"/>
            <w:vAlign w:val="center"/>
          </w:tcPr>
          <w:p>
            <w:pPr>
              <w:jc w:val="center"/>
              <w:rPr>
                <w:b/>
                <w:sz w:val="21"/>
                <w:szCs w:val="21"/>
              </w:rPr>
            </w:pPr>
          </w:p>
        </w:tc>
        <w:tc>
          <w:tcPr>
            <w:tcW w:w="1443" w:type="dxa"/>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513" w:type="dxa"/>
            <w:vAlign w:val="center"/>
          </w:tcPr>
          <w:p>
            <w:pPr>
              <w:jc w:val="center"/>
              <w:rPr>
                <w:b/>
                <w:sz w:val="21"/>
                <w:szCs w:val="21"/>
              </w:rPr>
            </w:pPr>
            <w:r>
              <w:rPr>
                <w:b/>
                <w:sz w:val="21"/>
                <w:szCs w:val="21"/>
              </w:rPr>
              <w:t>2020-N1QMS-1262293</w:t>
            </w:r>
          </w:p>
          <w:p>
            <w:pPr>
              <w:jc w:val="center"/>
              <w:rPr>
                <w:b/>
                <w:sz w:val="21"/>
                <w:szCs w:val="21"/>
              </w:rPr>
            </w:pPr>
            <w:r>
              <w:rPr>
                <w:b/>
                <w:sz w:val="21"/>
                <w:szCs w:val="21"/>
              </w:rPr>
              <w:t>2020-N1EMS-1262293</w:t>
            </w:r>
          </w:p>
        </w:tc>
        <w:tc>
          <w:tcPr>
            <w:tcW w:w="1200" w:type="dxa"/>
            <w:gridSpan w:val="3"/>
            <w:vAlign w:val="center"/>
          </w:tcPr>
          <w:p>
            <w:pPr>
              <w:jc w:val="center"/>
              <w:rPr>
                <w:b/>
                <w:sz w:val="21"/>
                <w:szCs w:val="21"/>
              </w:rPr>
            </w:pPr>
          </w:p>
        </w:tc>
        <w:tc>
          <w:tcPr>
            <w:tcW w:w="1443" w:type="dxa"/>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09"/>
        <w:gridCol w:w="1857"/>
        <w:gridCol w:w="1109"/>
        <w:gridCol w:w="1778"/>
        <w:gridCol w:w="151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050"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744" w:type="dxa"/>
            <w:gridSpan w:val="3"/>
          </w:tcPr>
          <w:p>
            <w:pPr>
              <w:spacing w:line="260" w:lineRule="exact"/>
              <w:rPr>
                <w:rFonts w:ascii="宋体"/>
                <w:b/>
                <w:color w:val="FF0000"/>
                <w:sz w:val="21"/>
              </w:rPr>
            </w:pPr>
            <w:bookmarkStart w:id="9" w:name="组织名称Add"/>
            <w:r>
              <w:rPr>
                <w:rFonts w:ascii="宋体"/>
                <w:b/>
                <w:color w:val="000000" w:themeColor="text1"/>
                <w:sz w:val="21"/>
              </w:rPr>
              <w:t>四川众弘成物业服务有限公司</w:t>
            </w:r>
            <w:bookmarkEnd w:id="9"/>
          </w:p>
        </w:tc>
        <w:tc>
          <w:tcPr>
            <w:tcW w:w="151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50" w:type="dxa"/>
            <w:gridSpan w:val="2"/>
            <w:vAlign w:val="center"/>
          </w:tcPr>
          <w:p>
            <w:pPr>
              <w:jc w:val="center"/>
              <w:rPr>
                <w:b/>
                <w:sz w:val="16"/>
                <w:szCs w:val="16"/>
              </w:rPr>
            </w:pPr>
            <w:r>
              <w:rPr>
                <w:rFonts w:hint="eastAsia" w:ascii="宋体" w:hAnsi="宋体"/>
                <w:b/>
                <w:sz w:val="21"/>
                <w:szCs w:val="21"/>
              </w:rPr>
              <w:t>注册地址</w:t>
            </w:r>
          </w:p>
        </w:tc>
        <w:tc>
          <w:tcPr>
            <w:tcW w:w="4744" w:type="dxa"/>
            <w:gridSpan w:val="3"/>
          </w:tcPr>
          <w:p>
            <w:pPr>
              <w:rPr>
                <w:rFonts w:ascii="宋体"/>
                <w:b/>
                <w:sz w:val="21"/>
              </w:rPr>
            </w:pPr>
            <w:bookmarkStart w:id="10" w:name="注册地址"/>
            <w:r>
              <w:rPr>
                <w:rFonts w:ascii="宋体"/>
                <w:b/>
                <w:sz w:val="21"/>
              </w:rPr>
              <w:t>四川省德阳市镇江街18号睫园综合楼1幢1-9号</w:t>
            </w:r>
            <w:bookmarkEnd w:id="10"/>
          </w:p>
        </w:tc>
        <w:tc>
          <w:tcPr>
            <w:tcW w:w="151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618200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050" w:type="dxa"/>
            <w:gridSpan w:val="2"/>
            <w:vAlign w:val="center"/>
          </w:tcPr>
          <w:p>
            <w:pPr>
              <w:jc w:val="center"/>
              <w:rPr>
                <w:rFonts w:ascii="宋体"/>
                <w:b/>
                <w:sz w:val="21"/>
                <w:szCs w:val="21"/>
              </w:rPr>
            </w:pPr>
            <w:r>
              <w:rPr>
                <w:rFonts w:hint="eastAsia" w:ascii="宋体" w:hAnsi="宋体"/>
                <w:b/>
                <w:sz w:val="21"/>
                <w:szCs w:val="21"/>
              </w:rPr>
              <w:t>经营地址</w:t>
            </w:r>
          </w:p>
        </w:tc>
        <w:tc>
          <w:tcPr>
            <w:tcW w:w="4744" w:type="dxa"/>
            <w:gridSpan w:val="3"/>
          </w:tcPr>
          <w:p>
            <w:pPr>
              <w:rPr>
                <w:rFonts w:ascii="宋体"/>
                <w:b/>
                <w:sz w:val="21"/>
              </w:rPr>
            </w:pPr>
            <w:bookmarkStart w:id="12" w:name="办公地址"/>
            <w:r>
              <w:rPr>
                <w:rFonts w:ascii="宋体"/>
                <w:b/>
                <w:sz w:val="21"/>
              </w:rPr>
              <w:t>四川省德阳市镇江街18号睫园综合楼1幢1-9号</w:t>
            </w:r>
            <w:bookmarkEnd w:id="12"/>
          </w:p>
        </w:tc>
        <w:tc>
          <w:tcPr>
            <w:tcW w:w="151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618200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050"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744" w:type="dxa"/>
            <w:gridSpan w:val="3"/>
          </w:tcPr>
          <w:p>
            <w:pPr>
              <w:rPr>
                <w:rFonts w:ascii="宋体"/>
                <w:b/>
                <w:sz w:val="21"/>
              </w:rPr>
            </w:pPr>
            <w:bookmarkStart w:id="14" w:name="生产地址Add"/>
            <w:r>
              <w:rPr>
                <w:rFonts w:ascii="宋体"/>
                <w:b/>
                <w:sz w:val="21"/>
              </w:rPr>
              <w:t>四川省德阳市镇江街18号睫园综合楼1幢1-9号</w:t>
            </w:r>
            <w:bookmarkEnd w:id="14"/>
          </w:p>
        </w:tc>
        <w:tc>
          <w:tcPr>
            <w:tcW w:w="151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618200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050" w:type="dxa"/>
            <w:gridSpan w:val="2"/>
            <w:vAlign w:val="center"/>
          </w:tcPr>
          <w:p>
            <w:pPr>
              <w:jc w:val="center"/>
              <w:rPr>
                <w:rFonts w:ascii="宋体"/>
                <w:b/>
                <w:sz w:val="21"/>
              </w:rPr>
            </w:pPr>
            <w:r>
              <w:rPr>
                <w:rFonts w:hint="eastAsia" w:ascii="宋体" w:hAnsi="宋体"/>
                <w:b/>
                <w:sz w:val="21"/>
              </w:rPr>
              <w:t>联系人</w:t>
            </w:r>
          </w:p>
        </w:tc>
        <w:tc>
          <w:tcPr>
            <w:tcW w:w="1857" w:type="dxa"/>
          </w:tcPr>
          <w:p>
            <w:pPr>
              <w:rPr>
                <w:rFonts w:ascii="宋体"/>
                <w:b/>
                <w:sz w:val="21"/>
              </w:rPr>
            </w:pPr>
            <w:bookmarkStart w:id="16" w:name="联系人"/>
            <w:r>
              <w:rPr>
                <w:rFonts w:ascii="宋体"/>
                <w:b/>
                <w:sz w:val="21"/>
              </w:rPr>
              <w:t>郑会玲</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778" w:type="dxa"/>
            <w:vAlign w:val="center"/>
          </w:tcPr>
          <w:p>
            <w:pPr>
              <w:jc w:val="center"/>
              <w:rPr>
                <w:rFonts w:ascii="宋体"/>
                <w:b/>
                <w:sz w:val="21"/>
              </w:rPr>
            </w:pPr>
            <w:bookmarkStart w:id="17" w:name="联系人电话Add"/>
            <w:r>
              <w:rPr>
                <w:rFonts w:ascii="宋体"/>
                <w:b/>
                <w:sz w:val="21"/>
              </w:rPr>
              <w:t>0838-2906308</w:t>
            </w:r>
            <w:bookmarkEnd w:id="17"/>
          </w:p>
        </w:tc>
        <w:tc>
          <w:tcPr>
            <w:tcW w:w="151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0"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857" w:type="dxa"/>
          </w:tcPr>
          <w:p>
            <w:pPr>
              <w:rPr>
                <w:rFonts w:ascii="宋体" w:hAnsi="宋体"/>
                <w:b/>
                <w:sz w:val="21"/>
                <w:szCs w:val="21"/>
              </w:rPr>
            </w:pPr>
            <w:bookmarkStart w:id="19" w:name="法人"/>
            <w:r>
              <w:rPr>
                <w:rFonts w:ascii="宋体" w:hAnsi="宋体"/>
                <w:b/>
                <w:sz w:val="21"/>
                <w:szCs w:val="21"/>
              </w:rPr>
              <w:t>郑渝</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778" w:type="dxa"/>
          </w:tcPr>
          <w:p>
            <w:pPr>
              <w:rPr>
                <w:rFonts w:ascii="宋体" w:hAnsi="宋体"/>
                <w:b/>
                <w:sz w:val="21"/>
                <w:szCs w:val="21"/>
              </w:rPr>
            </w:pPr>
          </w:p>
        </w:tc>
        <w:tc>
          <w:tcPr>
            <w:tcW w:w="151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曹可</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50"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966" w:type="dxa"/>
            <w:gridSpan w:val="2"/>
            <w:vAlign w:val="center"/>
          </w:tcPr>
          <w:p>
            <w:pPr>
              <w:rPr>
                <w:rFonts w:ascii="宋体" w:hAnsi="宋体"/>
                <w:b/>
                <w:sz w:val="21"/>
                <w:szCs w:val="21"/>
              </w:rPr>
            </w:pPr>
            <w:bookmarkStart w:id="21" w:name="审核日期"/>
            <w:r>
              <w:rPr>
                <w:rFonts w:ascii="宋体" w:hAnsi="宋体"/>
                <w:b/>
                <w:sz w:val="21"/>
                <w:szCs w:val="21"/>
              </w:rPr>
              <w:t>2021年04月29日 上午至2021年04月30日 上午</w:t>
            </w:r>
            <w:bookmarkEnd w:id="21"/>
          </w:p>
        </w:tc>
        <w:tc>
          <w:tcPr>
            <w:tcW w:w="1778" w:type="dxa"/>
            <w:vAlign w:val="center"/>
          </w:tcPr>
          <w:p>
            <w:pPr>
              <w:rPr>
                <w:rFonts w:ascii="宋体" w:hAnsi="宋体"/>
                <w:b/>
                <w:sz w:val="21"/>
                <w:szCs w:val="21"/>
              </w:rPr>
            </w:pPr>
            <w:r>
              <w:rPr>
                <w:rFonts w:hint="eastAsia" w:ascii="宋体" w:hAnsi="宋体"/>
                <w:b/>
                <w:sz w:val="21"/>
                <w:szCs w:val="21"/>
              </w:rPr>
              <w:t>一体化审核</w:t>
            </w:r>
          </w:p>
        </w:tc>
        <w:tc>
          <w:tcPr>
            <w:tcW w:w="3012" w:type="dxa"/>
            <w:gridSpan w:val="2"/>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050"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756" w:type="dxa"/>
            <w:gridSpan w:val="5"/>
            <w:vAlign w:val="top"/>
          </w:tcPr>
          <w:p>
            <w:pPr>
              <w:spacing w:line="360" w:lineRule="exact"/>
              <w:rPr>
                <w:rFonts w:ascii="宋体" w:hAnsi="宋体"/>
                <w:b/>
                <w:sz w:val="21"/>
                <w:szCs w:val="21"/>
              </w:rPr>
            </w:pPr>
            <w:r>
              <w:rPr>
                <w:rFonts w:hint="eastAsia" w:ascii="宋体" w:hAnsi="宋体"/>
                <w:b/>
                <w:sz w:val="21"/>
                <w:szCs w:val="21"/>
              </w:rPr>
              <w:t>■</w:t>
            </w:r>
            <w:r>
              <w:rPr>
                <w:rFonts w:ascii="宋体" w:hAnsi="宋体"/>
                <w:b/>
                <w:sz w:val="21"/>
                <w:szCs w:val="21"/>
              </w:rPr>
              <w:t>QMS</w:t>
            </w:r>
            <w:r>
              <w:rPr>
                <w:rFonts w:hint="eastAsia" w:ascii="宋体" w:hAnsi="宋体"/>
                <w:b/>
                <w:sz w:val="21"/>
                <w:szCs w:val="21"/>
              </w:rPr>
              <w:t>：</w:t>
            </w:r>
            <w:r>
              <w:rPr>
                <w:rFonts w:hint="eastAsia" w:ascii="宋体" w:hAnsi="宋体"/>
                <w:sz w:val="21"/>
                <w:szCs w:val="21"/>
              </w:rPr>
              <w:t>物业（住宅小区、办公楼）管理。</w:t>
            </w:r>
          </w:p>
          <w:p>
            <w:pPr>
              <w:spacing w:line="36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w:t>
            </w:r>
            <w:r>
              <w:rPr>
                <w:rFonts w:hint="eastAsia" w:ascii="宋体" w:hAnsi="宋体"/>
                <w:sz w:val="21"/>
                <w:szCs w:val="21"/>
              </w:rPr>
              <w:t xml:space="preserve">物业（住宅小区、办公楼）管理所涉及的相关环境管理活动 。 </w:t>
            </w:r>
          </w:p>
          <w:p>
            <w:pPr>
              <w:spacing w:line="360" w:lineRule="exact"/>
              <w:rPr>
                <w:rFonts w:ascii="宋体" w:hAnsi="宋体"/>
                <w:b/>
                <w:sz w:val="21"/>
                <w:szCs w:val="21"/>
              </w:rPr>
            </w:pPr>
            <w:r>
              <w:rPr>
                <w:rFonts w:hint="eastAsia" w:ascii="宋体" w:hAnsi="宋体"/>
                <w:b/>
                <w:sz w:val="21"/>
                <w:szCs w:val="21"/>
              </w:rPr>
              <w:t>■</w:t>
            </w:r>
            <w:r>
              <w:rPr>
                <w:rFonts w:ascii="宋体" w:hAnsi="宋体"/>
                <w:b/>
                <w:sz w:val="21"/>
                <w:szCs w:val="21"/>
              </w:rPr>
              <w:t>OHSMS</w:t>
            </w:r>
            <w:r>
              <w:rPr>
                <w:rFonts w:hint="eastAsia" w:ascii="宋体" w:hAnsi="宋体"/>
                <w:b/>
                <w:sz w:val="21"/>
                <w:szCs w:val="21"/>
              </w:rPr>
              <w:t>：</w:t>
            </w:r>
            <w:r>
              <w:rPr>
                <w:rFonts w:hint="eastAsia" w:ascii="宋体" w:hAnsi="宋体"/>
                <w:sz w:val="21"/>
                <w:szCs w:val="21"/>
              </w:rPr>
              <w:t>物业（住宅小区、办公楼）管理所涉及的相关职业健康安全管理活动。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009"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756"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50"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857" w:type="dxa"/>
          </w:tcPr>
          <w:p>
            <w:pPr>
              <w:spacing w:line="260" w:lineRule="exact"/>
              <w:rPr>
                <w:rFonts w:ascii="宋体" w:hAnsi="宋体"/>
                <w:b/>
                <w:sz w:val="21"/>
                <w:szCs w:val="21"/>
              </w:rPr>
            </w:pPr>
            <w:bookmarkStart w:id="22" w:name="专业代码"/>
            <w:r>
              <w:rPr>
                <w:rFonts w:ascii="宋体" w:hAnsi="宋体"/>
                <w:b/>
                <w:sz w:val="21"/>
                <w:szCs w:val="21"/>
              </w:rPr>
              <w:t>O：35.15.00</w:t>
            </w:r>
          </w:p>
          <w:p>
            <w:pPr>
              <w:spacing w:line="260" w:lineRule="exact"/>
              <w:rPr>
                <w:rFonts w:ascii="宋体" w:hAnsi="宋体"/>
                <w:b/>
                <w:sz w:val="21"/>
                <w:szCs w:val="21"/>
              </w:rPr>
            </w:pPr>
            <w:r>
              <w:rPr>
                <w:rFonts w:ascii="宋体" w:hAnsi="宋体"/>
                <w:b/>
                <w:sz w:val="21"/>
                <w:szCs w:val="21"/>
              </w:rPr>
              <w:t>Q：35.15.00</w:t>
            </w:r>
          </w:p>
          <w:p>
            <w:pPr>
              <w:spacing w:line="260" w:lineRule="exact"/>
              <w:rPr>
                <w:rFonts w:ascii="宋体" w:hAnsi="宋体"/>
                <w:b/>
                <w:sz w:val="21"/>
                <w:szCs w:val="21"/>
              </w:rPr>
            </w:pPr>
            <w:r>
              <w:rPr>
                <w:rFonts w:ascii="宋体" w:hAnsi="宋体"/>
                <w:b/>
                <w:sz w:val="21"/>
                <w:szCs w:val="21"/>
              </w:rPr>
              <w:t>E：35.15.00</w:t>
            </w:r>
            <w:bookmarkEnd w:id="22"/>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778" w:type="dxa"/>
          </w:tcPr>
          <w:p>
            <w:pPr>
              <w:spacing w:line="260" w:lineRule="exact"/>
              <w:rPr>
                <w:rFonts w:ascii="宋体" w:hAnsi="宋体"/>
                <w:b/>
                <w:sz w:val="21"/>
                <w:szCs w:val="21"/>
              </w:rPr>
            </w:pPr>
            <w:r>
              <w:rPr>
                <w:rFonts w:hint="eastAsia" w:ascii="宋体" w:hAnsi="宋体"/>
                <w:b/>
                <w:sz w:val="21"/>
                <w:szCs w:val="21"/>
              </w:rPr>
              <w:t>2022.5.13</w:t>
            </w:r>
          </w:p>
        </w:tc>
        <w:tc>
          <w:tcPr>
            <w:tcW w:w="151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2020.6.8</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8</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28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3"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0" w:lineRule="atLeast"/>
              <w:ind w:firstLine="420" w:firstLineChars="200"/>
              <w:rPr>
                <w:rFonts w:ascii="宋体" w:hAnsi="宋体"/>
                <w:sz w:val="21"/>
                <w:szCs w:val="21"/>
              </w:rPr>
            </w:pPr>
            <w:r>
              <w:rPr>
                <w:rFonts w:hint="eastAsia" w:ascii="宋体" w:hAnsi="宋体"/>
                <w:sz w:val="21"/>
                <w:szCs w:val="21"/>
              </w:rPr>
              <w:t>四川众弘成物业服务有限公司（原名：德阳市众成物业有限公司）创建于二00三年三月，注册资本600万元，物业国家“贰级”管理资质。公司主要从事物业（住宅小区、办公楼）管理。</w:t>
            </w:r>
          </w:p>
          <w:p>
            <w:pPr>
              <w:tabs>
                <w:tab w:val="left" w:pos="540"/>
              </w:tabs>
              <w:spacing w:line="300" w:lineRule="exact"/>
              <w:ind w:left="209" w:leftChars="87"/>
              <w:rPr>
                <w:rFonts w:ascii="宋体" w:hAnsi="宋体"/>
                <w:sz w:val="21"/>
                <w:szCs w:val="21"/>
              </w:rPr>
            </w:pPr>
            <w:r>
              <w:rPr>
                <w:rFonts w:hint="eastAsia" w:ascii="宋体" w:hAnsi="宋体"/>
                <w:sz w:val="21"/>
                <w:szCs w:val="21"/>
              </w:rPr>
              <w:t>现有员工数42人，经营状况良好。组织对内外部因素、相关方需求和期望进行了充分的识别，</w:t>
            </w:r>
          </w:p>
          <w:p>
            <w:pPr>
              <w:tabs>
                <w:tab w:val="left" w:pos="540"/>
              </w:tabs>
              <w:spacing w:line="300" w:lineRule="exact"/>
              <w:rPr>
                <w:rFonts w:ascii="宋体" w:hAnsi="宋体"/>
                <w:sz w:val="21"/>
                <w:szCs w:val="21"/>
              </w:rPr>
            </w:pPr>
            <w:r>
              <w:rPr>
                <w:rFonts w:hint="eastAsia" w:ascii="宋体" w:hAnsi="宋体"/>
                <w:sz w:val="21"/>
                <w:szCs w:val="21"/>
              </w:rPr>
              <w:t>策划和实施有效。确定了体系的边界，基本适用。管理体系8.3不适用，公司按相应国家行业标准</w:t>
            </w:r>
          </w:p>
          <w:p>
            <w:pPr>
              <w:tabs>
                <w:tab w:val="left" w:pos="540"/>
              </w:tabs>
              <w:spacing w:line="300" w:lineRule="exact"/>
              <w:ind w:left="420" w:leftChars="0" w:hanging="420" w:hangingChars="200"/>
              <w:rPr>
                <w:rFonts w:ascii="宋体" w:hAnsi="宋体" w:eastAsia="宋体" w:cs="Times New Roman"/>
                <w:b/>
                <w:kern w:val="2"/>
                <w:sz w:val="21"/>
                <w:szCs w:val="21"/>
                <w:lang w:val="en-US" w:eastAsia="zh-CN" w:bidi="ar-SA"/>
              </w:rPr>
            </w:pPr>
            <w:r>
              <w:rPr>
                <w:rFonts w:hint="eastAsia" w:ascii="宋体" w:hAnsi="宋体"/>
                <w:sz w:val="21"/>
                <w:szCs w:val="21"/>
              </w:rPr>
              <w:t>进行物业服务，不涉及设计与开发。理由合理。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rPr>
                <w:rFonts w:ascii="宋体" w:hAnsi="宋体" w:eastAsia="宋体" w:cs="Times New Roman"/>
                <w:b/>
                <w:kern w:val="2"/>
                <w:sz w:val="21"/>
                <w:szCs w:val="21"/>
                <w:lang w:val="en-US" w:eastAsia="zh-CN" w:bidi="ar-SA"/>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pStyle w:val="2"/>
              <w:spacing w:line="400" w:lineRule="exact"/>
              <w:rPr>
                <w:rFonts w:ascii="宋体" w:hAnsi="宋体" w:eastAsia="宋体" w:cs="Courier New"/>
                <w:b/>
                <w:kern w:val="2"/>
                <w:sz w:val="21"/>
                <w:szCs w:val="21"/>
                <w:lang w:val="en-US" w:eastAsia="zh-CN" w:bidi="ar-SA"/>
              </w:rPr>
            </w:pPr>
            <w:r>
              <w:rPr>
                <w:rFonts w:hint="eastAsia" w:hAnsi="宋体" w:cs="宋体"/>
                <w:color w:val="000000"/>
                <w:sz w:val="21"/>
              </w:rPr>
              <w:t>3、■质量/■环境/■职业健康安全方针（组织方针的适宜性/持续适宜性、方针的传达及职工的理解等）组织的</w:t>
            </w:r>
            <w:r>
              <w:rPr>
                <w:rFonts w:hint="eastAsia" w:hAnsi="宋体" w:cs="Times New Roman"/>
                <w:sz w:val="21"/>
              </w:rPr>
              <w:t>质量、环境、职业健康安全方针：</w:t>
            </w:r>
            <w:r>
              <w:rPr>
                <w:rFonts w:hint="eastAsia" w:hAnsi="宋体"/>
                <w:sz w:val="21"/>
              </w:rPr>
              <w:t xml:space="preserve">“完善管理  确保质量  持续改进  客户满意。以安全生产、保护环境、守法诚信、体现社会责任”。 </w:t>
            </w:r>
            <w:r>
              <w:rPr>
                <w:rFonts w:hint="eastAsia" w:hAnsi="宋体" w:cs="宋体"/>
                <w:color w:val="000000"/>
                <w:sz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sz w:val="21"/>
                <w:szCs w:val="21"/>
              </w:rPr>
            </w:pPr>
            <w:r>
              <w:rPr>
                <w:rFonts w:hint="eastAsia" w:ascii="宋体" w:hAnsi="宋体"/>
                <w:b/>
                <w:sz w:val="21"/>
                <w:szCs w:val="21"/>
              </w:rPr>
              <w:t>4、风险识别与控制策划</w:t>
            </w:r>
          </w:p>
          <w:p>
            <w:pPr>
              <w:spacing w:line="280" w:lineRule="exact"/>
              <w:rPr>
                <w:rFonts w:ascii="宋体" w:hAnsi="宋体" w:eastAsia="宋体" w:cs="Times New Roman"/>
                <w:b/>
                <w:kern w:val="2"/>
                <w:sz w:val="21"/>
                <w:szCs w:val="21"/>
                <w:lang w:val="en-US" w:eastAsia="zh-CN" w:bidi="ar-SA"/>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rPr>
            </w:pPr>
            <w:r>
              <w:rPr>
                <w:rFonts w:ascii="宋体" w:hAnsi="宋体"/>
                <w:b/>
                <w:sz w:val="21"/>
                <w:szCs w:val="21"/>
              </w:rPr>
              <w:t>5.</w:t>
            </w:r>
            <w:r>
              <w:rPr>
                <w:b/>
                <w:color w:val="000000" w:themeColor="text1"/>
                <w:sz w:val="20"/>
              </w:rPr>
              <w:t>QMS</w:t>
            </w:r>
            <w:r>
              <w:rPr>
                <w:rFonts w:hint="eastAsia" w:ascii="宋体" w:hAnsi="宋体"/>
                <w:b/>
                <w:color w:val="000000" w:themeColor="text1"/>
                <w:sz w:val="20"/>
              </w:rPr>
              <w:t>过程</w:t>
            </w:r>
          </w:p>
          <w:p>
            <w:pPr>
              <w:tabs>
                <w:tab w:val="left" w:pos="540"/>
              </w:tabs>
              <w:spacing w:line="300" w:lineRule="exact"/>
              <w:ind w:left="201" w:hanging="201" w:hangingChars="100"/>
              <w:rPr>
                <w:rFonts w:ascii="宋体" w:hAnsi="宋体"/>
                <w:b/>
                <w:color w:val="000000" w:themeColor="text1"/>
                <w:sz w:val="20"/>
                <w:u w:val="single"/>
              </w:rPr>
            </w:pPr>
            <w:r>
              <w:rPr>
                <w:rFonts w:hint="eastAsia" w:ascii="宋体" w:hAnsi="宋体"/>
                <w:b/>
                <w:color w:val="000000" w:themeColor="text1"/>
                <w:sz w:val="20"/>
              </w:rPr>
              <w:t>质量管理体系过程有：人力资源、基础设施、文件、机构、职责、产品和服务的要求、外部提供的产品和服务、产品放行、不合格输出控制、绩效评价、改进等</w:t>
            </w:r>
          </w:p>
          <w:p>
            <w:pPr>
              <w:tabs>
                <w:tab w:val="left" w:pos="540"/>
              </w:tabs>
              <w:spacing w:line="300" w:lineRule="exact"/>
              <w:ind w:left="201" w:hanging="201" w:hangingChars="100"/>
              <w:rPr>
                <w:rFonts w:ascii="宋体" w:hAnsi="宋体"/>
                <w:b/>
                <w:color w:val="000000" w:themeColor="text1"/>
                <w:sz w:val="20"/>
                <w:highlight w:val="green"/>
                <w:u w:val="single"/>
              </w:rPr>
            </w:pPr>
            <w:r>
              <w:rPr>
                <w:rFonts w:hint="eastAsia" w:ascii="宋体" w:hAnsi="宋体"/>
                <w:b/>
                <w:color w:val="000000" w:themeColor="text1"/>
                <w:sz w:val="20"/>
              </w:rPr>
              <w:t xml:space="preserve">外包过程 </w:t>
            </w:r>
            <w:r>
              <w:rPr>
                <w:rFonts w:hint="eastAsia" w:ascii="宋体" w:hAnsi="宋体"/>
                <w:b/>
                <w:color w:val="000000" w:themeColor="text1"/>
                <w:sz w:val="20"/>
                <w:u w:val="single"/>
              </w:rPr>
              <w:t>保洁、绿化、电梯维保、化粪池清淘</w:t>
            </w:r>
          </w:p>
          <w:p>
            <w:pPr>
              <w:tabs>
                <w:tab w:val="left" w:pos="540"/>
              </w:tabs>
              <w:spacing w:line="300" w:lineRule="exact"/>
              <w:rPr>
                <w:rFonts w:ascii="宋体" w:hAnsi="宋体"/>
                <w:b/>
                <w:sz w:val="21"/>
                <w:szCs w:val="21"/>
              </w:rPr>
            </w:pPr>
            <w:r>
              <w:rPr>
                <w:rFonts w:hint="eastAsia" w:ascii="宋体" w:hAnsi="宋体"/>
                <w:b/>
                <w:sz w:val="21"/>
                <w:szCs w:val="21"/>
              </w:rPr>
              <w:t>其中关键过程有：服务过程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需要确认过程：服务过程</w:t>
            </w:r>
          </w:p>
          <w:p>
            <w:pPr>
              <w:tabs>
                <w:tab w:val="left" w:pos="540"/>
              </w:tabs>
              <w:spacing w:line="300" w:lineRule="exact"/>
              <w:ind w:left="211" w:hanging="211" w:hangingChars="100"/>
              <w:rPr>
                <w:rFonts w:hint="eastAsia" w:ascii="宋体" w:hAnsi="宋体"/>
                <w:b/>
                <w:sz w:val="21"/>
                <w:szCs w:val="21"/>
              </w:rPr>
            </w:pPr>
            <w:r>
              <w:rPr>
                <w:rFonts w:ascii="宋体" w:hAnsi="宋体"/>
                <w:b/>
                <w:sz w:val="21"/>
                <w:szCs w:val="21"/>
              </w:rPr>
              <w:pict>
                <v:shape id="_x0000_s2053" o:spid="_x0000_s2053"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4" o:spid="_x0000_s2054"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删减条款是，Q8.3  ，删减理由：公司按相应国家行业标准进行物业服务，不涉及设计与开发。</w:t>
            </w:r>
          </w:p>
          <w:p>
            <w:pPr>
              <w:tabs>
                <w:tab w:val="left" w:pos="540"/>
              </w:tabs>
              <w:spacing w:line="300" w:lineRule="exact"/>
              <w:ind w:left="211" w:hanging="211" w:hangingChars="100"/>
              <w:rPr>
                <w:rFonts w:ascii="宋体" w:hAnsi="宋体" w:eastAsia="宋体" w:cs="Times New Roman"/>
                <w:b/>
                <w:kern w:val="2"/>
                <w:sz w:val="21"/>
                <w:szCs w:val="21"/>
                <w:lang w:val="en-US" w:eastAsia="zh-CN" w:bidi="ar-SA"/>
              </w:rPr>
            </w:pPr>
            <w:r>
              <w:rPr>
                <w:rFonts w:hint="eastAsia" w:ascii="宋体" w:hAnsi="宋体"/>
                <w:b/>
                <w:sz w:val="21"/>
                <w:szCs w:val="21"/>
              </w:rPr>
              <w:t>删减不影响为顾客提供满足法律、法规要求的服务。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ascii="宋体" w:hAnsi="宋体" w:cs="Times New Roman" w:eastAsiaTheme="minorEastAsia"/>
                <w:b/>
                <w:kern w:val="2"/>
                <w:sz w:val="21"/>
                <w:szCs w:val="21"/>
                <w:lang w:val="en-US" w:eastAsia="zh-CN" w:bidi="ar-SA"/>
              </w:rPr>
            </w:pPr>
            <w:r>
              <w:rPr>
                <w:rFonts w:hint="eastAsia" w:ascii="宋体" w:hAnsi="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w:t>
            </w:r>
            <w:r>
              <w:rPr>
                <w:rFonts w:hint="eastAsia" w:ascii="宋体" w:hAnsi="宋体" w:cs="宋体"/>
                <w:sz w:val="21"/>
                <w:szCs w:val="21"/>
              </w:rPr>
              <w:t>扬尘的排放</w:t>
            </w:r>
            <w:r>
              <w:rPr>
                <w:rFonts w:hint="eastAsia" w:ascii="宋体" w:hAnsi="宋体" w:cs="宋体"/>
                <w:bCs/>
                <w:iCs/>
                <w:sz w:val="21"/>
                <w:szCs w:val="21"/>
              </w:rPr>
              <w:t>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bCs/>
                <w:iCs/>
                <w:sz w:val="21"/>
                <w:szCs w:val="21"/>
              </w:rPr>
              <w:t>根据组织经营性质，识别了各部门和场所的危险源，并对危险源进行了评价，评价出不可接受风险（</w:t>
            </w:r>
            <w:r>
              <w:rPr>
                <w:rFonts w:hint="eastAsia" w:ascii="宋体" w:hAnsi="宋体"/>
                <w:color w:val="000000"/>
                <w:sz w:val="21"/>
                <w:szCs w:val="21"/>
              </w:rPr>
              <w:t>火灾、触电；中暑；交通事故；伤亡事故</w:t>
            </w:r>
            <w:r>
              <w:rPr>
                <w:rFonts w:hint="eastAsia" w:ascii="宋体" w:hAnsi="宋体" w:cs="宋体"/>
                <w:bCs/>
                <w:iCs/>
                <w:sz w:val="21"/>
                <w:szCs w:val="21"/>
              </w:rPr>
              <w:t>），识别基本齐全，评价合理。基本了解评价动态变更的及时性。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color w:val="000000" w:themeColor="text1"/>
                <w:szCs w:val="21"/>
              </w:rPr>
              <w:t>■会议    ■网络    ■公示   ■其他</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ascii="宋体" w:hAnsi="宋体" w:eastAsia="宋体" w:cs="Times New Roman"/>
                <w:b/>
                <w:kern w:val="2"/>
                <w:sz w:val="21"/>
                <w:szCs w:val="21"/>
                <w:lang w:val="en-US" w:eastAsia="zh-CN" w:bidi="ar-SA"/>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sz w:val="21"/>
                <w:szCs w:val="21"/>
              </w:rPr>
              <w:t>公司编制了《文件、记录控制程序》并按照申请认证的标准要求，建立并形成了文件化的质量、环境、职业健康安全管理体系，体系文件对管理体系各过程进行了识别确定，明确了各要素间的相互关系及其管控要求。公司体系文件于2020年1月26日进行了换版，由A/0版本更换为A/1版，本并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ascii="宋体" w:hAnsi="宋体" w:cs="宋体"/>
                <w:sz w:val="21"/>
                <w:szCs w:val="21"/>
              </w:rPr>
            </w:pPr>
            <w:r>
              <w:rPr>
                <w:rFonts w:hint="eastAsia" w:ascii="宋体" w:hAnsi="宋体" w:cs="宋体"/>
                <w:sz w:val="21"/>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eastAsia="宋体" w:cs="Times New Roman"/>
                <w:b/>
                <w:kern w:val="2"/>
                <w:sz w:val="21"/>
                <w:szCs w:val="21"/>
                <w:lang w:val="en-US" w:eastAsia="zh-CN" w:bidi="ar-SA"/>
              </w:rPr>
            </w:pPr>
            <w:r>
              <w:rPr>
                <w:rFonts w:hint="eastAsia" w:ascii="宋体" w:hAnsi="宋体" w:cs="宋体"/>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设备设施（包括信息系统）、</w:t>
            </w:r>
          </w:p>
          <w:p>
            <w:pPr>
              <w:spacing w:line="0" w:lineRule="atLeast"/>
              <w:jc w:val="left"/>
              <w:rPr>
                <w:rFonts w:ascii="宋体" w:hAnsi="宋体"/>
                <w:sz w:val="21"/>
                <w:szCs w:val="21"/>
              </w:rPr>
            </w:pPr>
            <w:r>
              <w:rPr>
                <w:rFonts w:hint="eastAsia" w:ascii="宋体" w:hAnsi="宋体" w:cs="宋体"/>
                <w:color w:val="000000" w:themeColor="text1"/>
                <w:sz w:val="21"/>
                <w:szCs w:val="21"/>
              </w:rPr>
              <w:t>办公面积200平方左右，</w:t>
            </w:r>
            <w:r>
              <w:rPr>
                <w:rFonts w:hint="eastAsia" w:ascii="宋体" w:hAnsi="宋体" w:cs="宋体"/>
                <w:sz w:val="21"/>
                <w:szCs w:val="21"/>
              </w:rPr>
              <w:t>主要生产设备包括：全自动洗地</w:t>
            </w:r>
            <w:r>
              <w:rPr>
                <w:rStyle w:val="16"/>
                <w:rFonts w:hint="eastAsia" w:ascii="宋体" w:hAnsi="宋体"/>
                <w:color w:val="auto"/>
                <w:sz w:val="21"/>
                <w:szCs w:val="21"/>
              </w:rPr>
              <w:t>机、吸尘器、对讲机、清洁工具</w:t>
            </w:r>
            <w:r>
              <w:rPr>
                <w:rFonts w:hint="eastAsia" w:ascii="宋体" w:hAnsi="宋体" w:cs="宋体"/>
                <w:sz w:val="21"/>
                <w:szCs w:val="21"/>
              </w:rPr>
              <w:t>、电脑及办公设备等，可以满足</w:t>
            </w:r>
            <w:r>
              <w:rPr>
                <w:rFonts w:hint="eastAsia" w:ascii="宋体" w:hAnsi="宋体"/>
                <w:sz w:val="21"/>
                <w:szCs w:val="21"/>
              </w:rPr>
              <w:t>物业（住宅小区、办公楼）管理</w:t>
            </w:r>
          </w:p>
          <w:p>
            <w:pPr>
              <w:spacing w:line="400" w:lineRule="exact"/>
              <w:rPr>
                <w:rFonts w:ascii="宋体" w:hAnsi="宋体" w:eastAsia="宋体" w:cs="Times New Roman"/>
                <w:b/>
                <w:kern w:val="2"/>
                <w:sz w:val="21"/>
                <w:szCs w:val="21"/>
                <w:lang w:val="en-US" w:eastAsia="zh-CN" w:bidi="ar-SA"/>
              </w:rPr>
            </w:pPr>
            <w:r>
              <w:rPr>
                <w:rFonts w:hint="eastAsia" w:ascii="宋体" w:hAnsi="宋体" w:cs="宋体"/>
                <w:sz w:val="21"/>
                <w:szCs w:val="21"/>
              </w:rPr>
              <w:t>需要。管理处对设备按月方式进行点检维护保养，并实施</w:t>
            </w:r>
            <w:r>
              <w:rPr>
                <w:rFonts w:hint="eastAsia" w:ascii="宋体" w:hAnsi="宋体" w:cs="宋体"/>
                <w:color w:val="000000"/>
                <w:sz w:val="21"/>
                <w:szCs w:val="21"/>
              </w:rPr>
              <w:t>。特种设备：无。公司未建立信息管理系统用于生产和服务。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sz w:val="21"/>
                <w:szCs w:val="21"/>
              </w:rPr>
              <w:t>办公及服务场所内设备布置合理，照明设施齐全，均配备了灭火器、消防栓等设施。目前公司主要向客户提供物业（住宅小区、办公楼）管理对环境要求不高，目前工作环境符合物业服务需要。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监视和测量资源</w:t>
            </w:r>
          </w:p>
          <w:p>
            <w:pPr>
              <w:spacing w:line="400" w:lineRule="exact"/>
              <w:rPr>
                <w:rFonts w:ascii="宋体" w:hAnsi="宋体" w:eastAsia="宋体" w:cs="Times New Roman"/>
                <w:b/>
                <w:kern w:val="2"/>
                <w:sz w:val="21"/>
                <w:szCs w:val="21"/>
                <w:lang w:val="en-US" w:eastAsia="zh-CN" w:bidi="ar-SA"/>
              </w:rPr>
            </w:pPr>
            <w:r>
              <w:rPr>
                <w:rFonts w:hint="eastAsia"/>
                <w:sz w:val="21"/>
                <w:szCs w:val="21"/>
              </w:rPr>
              <w:t>保洁和绿化，采取人为检查、核对方式进行；线路、照明设施维护用万用表、钳行表、兆欧表</w:t>
            </w:r>
            <w:r>
              <w:rPr>
                <w:rFonts w:hint="eastAsia"/>
                <w:sz w:val="21"/>
                <w:szCs w:val="21"/>
                <w:lang w:eastAsia="zh-CN"/>
              </w:rPr>
              <w:t>、</w:t>
            </w:r>
            <w:r>
              <w:rPr>
                <w:rFonts w:hint="eastAsia"/>
                <w:sz w:val="21"/>
                <w:szCs w:val="21"/>
                <w:lang w:val="en-US" w:eastAsia="zh-CN"/>
              </w:rPr>
              <w:t>绝缘电阻表</w:t>
            </w:r>
            <w:r>
              <w:rPr>
                <w:rFonts w:hint="eastAsia"/>
                <w:sz w:val="21"/>
                <w:szCs w:val="21"/>
              </w:rPr>
              <w:t>检测，能提供万用表、钳行表、兆欧表</w:t>
            </w:r>
            <w:r>
              <w:rPr>
                <w:rFonts w:hint="eastAsia"/>
                <w:sz w:val="21"/>
                <w:szCs w:val="21"/>
                <w:lang w:eastAsia="zh-CN"/>
              </w:rPr>
              <w:t>、</w:t>
            </w:r>
            <w:r>
              <w:rPr>
                <w:rFonts w:hint="eastAsia"/>
                <w:sz w:val="21"/>
                <w:szCs w:val="21"/>
                <w:lang w:val="en-US" w:eastAsia="zh-CN"/>
              </w:rPr>
              <w:t>绝缘电阻表</w:t>
            </w:r>
            <w:r>
              <w:rPr>
                <w:rFonts w:hint="eastAsia"/>
                <w:sz w:val="21"/>
                <w:szCs w:val="21"/>
              </w:rPr>
              <w:t>有效检定或校准证书。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eastAsia="宋体" w:cs="Times New Roman"/>
                <w:b/>
                <w:kern w:val="2"/>
                <w:sz w:val="21"/>
                <w:szCs w:val="21"/>
                <w:lang w:val="en-US" w:eastAsia="zh-CN" w:bidi="ar-SA"/>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sz w:val="21"/>
                <w:szCs w:val="21"/>
              </w:rPr>
            </w:pPr>
            <w:r>
              <w:rPr>
                <w:rFonts w:hint="eastAsia" w:ascii="宋体" w:hAnsi="宋体"/>
                <w:b/>
                <w:sz w:val="21"/>
                <w:szCs w:val="21"/>
              </w:rPr>
              <w:t>环保设施：</w:t>
            </w:r>
          </w:p>
          <w:p>
            <w:pPr>
              <w:spacing w:line="240" w:lineRule="exact"/>
              <w:rPr>
                <w:rFonts w:ascii="宋体" w:hAnsi="宋体" w:eastAsia="宋体" w:cs="Times New Roman"/>
                <w:b/>
                <w:kern w:val="2"/>
                <w:sz w:val="21"/>
                <w:szCs w:val="21"/>
                <w:lang w:val="en-US" w:eastAsia="zh-CN" w:bidi="ar-SA"/>
              </w:rPr>
            </w:pPr>
            <w:r>
              <w:rPr>
                <w:rFonts w:hint="eastAsia" w:ascii="宋体" w:hAnsi="宋体"/>
                <w:sz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400" w:lineRule="exact"/>
              <w:rPr>
                <w:rFonts w:hint="eastAsia" w:ascii="宋体" w:hAnsi="宋体"/>
                <w:b/>
                <w:sz w:val="21"/>
                <w:szCs w:val="21"/>
              </w:rPr>
            </w:pPr>
            <w:r>
              <w:rPr>
                <w:rFonts w:hint="eastAsia" w:ascii="宋体" w:hAnsi="宋体"/>
                <w:b/>
                <w:sz w:val="21"/>
                <w:szCs w:val="21"/>
              </w:rPr>
              <w:t>职业健康安全设施：</w:t>
            </w:r>
          </w:p>
          <w:p>
            <w:pPr>
              <w:spacing w:line="400" w:lineRule="exact"/>
              <w:rPr>
                <w:rFonts w:ascii="宋体" w:hAnsi="宋体" w:eastAsia="宋体" w:cs="Times New Roman"/>
                <w:b/>
                <w:kern w:val="2"/>
                <w:sz w:val="21"/>
                <w:szCs w:val="21"/>
                <w:lang w:val="en-US" w:eastAsia="zh-CN" w:bidi="ar-SA"/>
              </w:rPr>
            </w:pPr>
            <w:r>
              <w:rPr>
                <w:rFonts w:hint="eastAsia" w:ascii="宋体" w:hAnsi="宋体"/>
                <w:b w:val="0"/>
                <w:bCs/>
                <w:sz w:val="21"/>
                <w:szCs w:val="21"/>
              </w:rPr>
              <w:t>配电箱、空开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2"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eastAsia="宋体" w:cs="Times New Roman"/>
                <w:b/>
                <w:kern w:val="2"/>
                <w:sz w:val="21"/>
                <w:szCs w:val="21"/>
                <w:lang w:val="en-US" w:eastAsia="zh-CN" w:bidi="ar-SA"/>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 w:val="21"/>
                <w:szCs w:val="21"/>
              </w:rPr>
              <w:t>对会议通知和规定等登记处理。</w:t>
            </w:r>
          </w:p>
          <w:p>
            <w:pPr>
              <w:spacing w:line="240" w:lineRule="exact"/>
              <w:rPr>
                <w:rFonts w:ascii="楷体_GB2312" w:eastAsia="楷体_GB2312"/>
                <w:b/>
                <w:szCs w:val="21"/>
              </w:rPr>
            </w:pPr>
          </w:p>
          <w:p>
            <w:pPr>
              <w:spacing w:line="240" w:lineRule="exact"/>
              <w:rPr>
                <w:rFonts w:ascii="宋体" w:hAnsi="宋体" w:cs="宋体"/>
                <w:color w:val="000000"/>
                <w:sz w:val="21"/>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宋体" w:hAnsi="宋体" w:eastAsia="宋体" w:cs="Times New Roman"/>
                <w:b/>
                <w:kern w:val="2"/>
                <w:sz w:val="21"/>
                <w:szCs w:val="21"/>
                <w:lang w:val="en-US" w:eastAsia="zh-CN" w:bidi="ar-SA"/>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eastAsia="宋体" w:cs="Times New Roman"/>
                <w:b/>
                <w:kern w:val="2"/>
                <w:sz w:val="21"/>
                <w:szCs w:val="21"/>
                <w:lang w:val="en-US" w:eastAsia="zh-CN" w:bidi="ar-SA"/>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ind w:firstLine="420" w:firstLineChars="200"/>
              <w:rPr>
                <w:rFonts w:ascii="宋体" w:hAnsi="宋体" w:cs="宋体"/>
                <w:color w:val="000000"/>
                <w:sz w:val="21"/>
                <w:szCs w:val="21"/>
              </w:rPr>
            </w:pPr>
            <w:r>
              <w:rPr>
                <w:rFonts w:hint="eastAsia" w:ascii="宋体" w:hAnsi="宋体" w:cs="宋体"/>
                <w:color w:val="000000"/>
                <w:sz w:val="21"/>
                <w:szCs w:val="21"/>
              </w:rPr>
              <w:t>制定并实施了产品及服务检验控制规定，规定了公司在各阶段对产品服务质量实施检查与验收的管理要求。内容基本具备全面性、系统性及可操作性。范围包括：过程、最终产品。以此保证持续向顾客稳定提供稳定合格的产品和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：维护、检查记录等</w:t>
            </w:r>
          </w:p>
          <w:p>
            <w:pPr>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360" w:lineRule="auto"/>
              <w:ind w:firstLine="420" w:firstLineChars="200"/>
              <w:rPr>
                <w:rFonts w:ascii="宋体" w:hAnsi="宋体"/>
                <w:b/>
                <w:sz w:val="21"/>
                <w:szCs w:val="21"/>
              </w:rPr>
            </w:pPr>
            <w:r>
              <w:rPr>
                <w:rFonts w:hint="eastAsia" w:ascii="宋体" w:hAnsi="宋体" w:cs="宋体"/>
                <w:color w:val="000000"/>
                <w:sz w:val="21"/>
                <w:szCs w:val="21"/>
              </w:rPr>
              <w:t>无</w:t>
            </w:r>
          </w:p>
          <w:p>
            <w:pPr>
              <w:spacing w:line="300" w:lineRule="exact"/>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20" w:firstLineChars="200"/>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sz w:val="21"/>
                <w:szCs w:val="21"/>
              </w:rPr>
              <w:t>组织重要环境因素为潜在火灾、固废排放、</w:t>
            </w:r>
            <w:r>
              <w:rPr>
                <w:rFonts w:hint="eastAsia" w:ascii="宋体" w:hAnsi="宋体" w:cs="宋体"/>
                <w:sz w:val="21"/>
                <w:szCs w:val="21"/>
              </w:rPr>
              <w:t>扬尘的排放</w:t>
            </w:r>
            <w:r>
              <w:rPr>
                <w:rFonts w:hint="eastAsia" w:asciiTheme="minorEastAsia" w:hAnsiTheme="minorEastAsia" w:eastAsiaTheme="minorEastAsia"/>
                <w:bCs/>
                <w:iCs/>
                <w:sz w:val="21"/>
                <w:szCs w:val="21"/>
              </w:rPr>
              <w:t>，需要应对的风险和机遇相关的过程为物业服务实施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w:t>
            </w:r>
            <w:r>
              <w:rPr>
                <w:rFonts w:hint="eastAsia" w:asciiTheme="minorEastAsia" w:hAnsiTheme="minorEastAsia" w:eastAsiaTheme="minorEastAsia"/>
                <w:bCs/>
                <w:iCs/>
                <w:sz w:val="21"/>
                <w:szCs w:val="21"/>
                <w:lang w:eastAsia="zh-CN"/>
              </w:rPr>
              <w:t>、</w:t>
            </w:r>
            <w:r>
              <w:rPr>
                <w:rFonts w:hint="eastAsia" w:asciiTheme="minorEastAsia" w:hAnsiTheme="minorEastAsia" w:eastAsiaTheme="minorEastAsia"/>
                <w:bCs/>
                <w:iCs/>
                <w:sz w:val="21"/>
                <w:szCs w:val="21"/>
                <w:lang w:val="en-US" w:eastAsia="zh-CN"/>
              </w:rPr>
              <w:t>粉尘排放</w:t>
            </w:r>
            <w:r>
              <w:rPr>
                <w:rFonts w:hint="eastAsia" w:asciiTheme="minorEastAsia" w:hAnsiTheme="minorEastAsia" w:eastAsiaTheme="minorEastAsia"/>
                <w:bCs/>
                <w:iCs/>
                <w:sz w:val="21"/>
                <w:szCs w:val="21"/>
              </w:rPr>
              <w:t>等的管理方案。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720" w:type="dxa"/>
            <w:vMerge w:val="continue"/>
            <w:vAlign w:val="center"/>
          </w:tcPr>
          <w:p>
            <w:pPr>
              <w:spacing w:line="240" w:lineRule="exact"/>
              <w:jc w:val="center"/>
              <w:rPr>
                <w:b/>
                <w:szCs w:val="21"/>
              </w:rPr>
            </w:pPr>
          </w:p>
        </w:tc>
        <w:tc>
          <w:tcPr>
            <w:tcW w:w="9198" w:type="dxa"/>
            <w:vAlign w:val="top"/>
          </w:tcPr>
          <w:p>
            <w:pPr>
              <w:numPr>
                <w:ilvl w:val="0"/>
                <w:numId w:val="3"/>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组织建立了危险源识别、评价控制程序，识别评价了危险源、风险相关的过程，评价出了重要危险源（火灾、触电、中暑、</w:t>
            </w:r>
            <w:r>
              <w:rPr>
                <w:rFonts w:hint="eastAsia" w:asciiTheme="minorEastAsia" w:hAnsiTheme="minorEastAsia" w:eastAsiaTheme="minorEastAsia"/>
                <w:bCs/>
                <w:iCs/>
                <w:sz w:val="21"/>
                <w:szCs w:val="21"/>
                <w:lang w:val="en-US" w:eastAsia="zh-CN"/>
              </w:rPr>
              <w:t>交通事故、人身伤害、</w:t>
            </w:r>
            <w:r>
              <w:rPr>
                <w:rFonts w:hint="eastAsia" w:asciiTheme="minorEastAsia" w:hAnsiTheme="minorEastAsia" w:eastAsiaTheme="minorEastAsia"/>
                <w:bCs/>
                <w:iCs/>
                <w:sz w:val="21"/>
                <w:szCs w:val="21"/>
              </w:rPr>
              <w:t>新冠疫情感染等），与之相关的过程有服务、信息处理过程，针对不可接受风险制定了管理方案。控制措施实施有效。</w:t>
            </w:r>
          </w:p>
          <w:p>
            <w:pPr>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rPr>
              <w:t xml:space="preserve">  </w:t>
            </w: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5" w:hanging="105" w:hangingChars="50"/>
              <w:rPr>
                <w:rFonts w:ascii="宋体" w:hAnsi="宋体"/>
                <w:b/>
                <w:sz w:val="21"/>
                <w:szCs w:val="21"/>
                <w:highlight w:val="none"/>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w:t>
            </w:r>
            <w:r>
              <w:rPr>
                <w:rFonts w:hint="eastAsia" w:ascii="宋体" w:hAnsi="宋体"/>
                <w:b/>
                <w:sz w:val="21"/>
                <w:szCs w:val="21"/>
                <w:highlight w:val="none"/>
              </w:rPr>
              <w:t>境</w:t>
            </w:r>
            <w:r>
              <w:rPr>
                <w:rFonts w:ascii="宋体" w:hAnsi="宋体"/>
                <w:b/>
                <w:sz w:val="21"/>
                <w:szCs w:val="21"/>
                <w:highlight w:val="none"/>
              </w:rPr>
              <w:t>/</w:t>
            </w:r>
            <w:r>
              <w:rPr>
                <w:rFonts w:hint="eastAsia" w:ascii="宋体" w:hAnsi="宋体"/>
                <w:b/>
                <w:sz w:val="21"/>
                <w:szCs w:val="21"/>
                <w:highlight w:val="none"/>
              </w:rPr>
              <w:t>职业健康安全目标指标进行定期监测</w:t>
            </w:r>
            <w:r>
              <w:rPr>
                <w:rFonts w:ascii="宋体" w:hAnsi="宋体"/>
                <w:b/>
                <w:sz w:val="21"/>
                <w:szCs w:val="21"/>
                <w:highlight w:val="none"/>
              </w:rPr>
              <w:t>/</w:t>
            </w:r>
            <w:r>
              <w:rPr>
                <w:rFonts w:hint="eastAsia" w:ascii="宋体" w:hAnsi="宋体"/>
                <w:b/>
                <w:sz w:val="21"/>
                <w:szCs w:val="21"/>
                <w:highlight w:val="none"/>
              </w:rPr>
              <w:t>检查情况</w:t>
            </w:r>
          </w:p>
          <w:p>
            <w:pPr>
              <w:spacing w:line="240" w:lineRule="exact"/>
              <w:ind w:firstLine="315" w:firstLineChars="150"/>
              <w:rPr>
                <w:rFonts w:ascii="宋体" w:hAnsi="宋体" w:eastAsia="宋体" w:cs="Times New Roman"/>
                <w:b/>
                <w:kern w:val="2"/>
                <w:sz w:val="21"/>
                <w:szCs w:val="21"/>
                <w:lang w:val="en-US" w:eastAsia="zh-CN" w:bidi="ar-SA"/>
              </w:rPr>
            </w:pPr>
            <w:r>
              <w:rPr>
                <w:rFonts w:hint="eastAsia" w:ascii="宋体" w:hAnsi="宋体" w:cs="宋体"/>
                <w:color w:val="000000"/>
                <w:sz w:val="21"/>
                <w:szCs w:val="21"/>
                <w:highlight w:val="none"/>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sz w:val="21"/>
                <w:szCs w:val="21"/>
                <w:highlight w:val="none"/>
              </w:rPr>
              <w:t>通过20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cs="宋体"/>
                <w:sz w:val="21"/>
                <w:szCs w:val="21"/>
                <w:highlight w:val="none"/>
              </w:rPr>
              <w:t>月-20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rPr>
              <w:t>月质量目标的</w:t>
            </w:r>
            <w:r>
              <w:rPr>
                <w:rFonts w:hint="eastAsia" w:ascii="宋体" w:hAnsi="宋体" w:cs="宋体"/>
                <w:sz w:val="21"/>
                <w:szCs w:val="21"/>
              </w:rPr>
              <w:t>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numPr>
                <w:ilvl w:val="0"/>
                <w:numId w:val="4"/>
              </w:numPr>
              <w:spacing w:line="240" w:lineRule="exact"/>
              <w:ind w:left="105" w:hanging="105" w:hangingChars="50"/>
              <w:rPr>
                <w:rFonts w:ascii="宋体" w:hAnsi="宋体"/>
                <w:b/>
                <w:sz w:val="21"/>
                <w:szCs w:val="21"/>
              </w:rPr>
            </w:pPr>
            <w:r>
              <w:rPr>
                <w:rFonts w:hint="eastAsia" w:ascii="宋体" w:hAnsi="宋体"/>
                <w:b/>
                <w:sz w:val="21"/>
                <w:szCs w:val="21"/>
              </w:rPr>
              <w:t>顾客满意</w:t>
            </w:r>
          </w:p>
          <w:p>
            <w:pPr>
              <w:spacing w:line="240" w:lineRule="exact"/>
              <w:ind w:left="-120" w:leftChars="-50" w:firstLine="420" w:firstLineChars="200"/>
              <w:rPr>
                <w:rFonts w:ascii="宋体" w:hAnsi="宋体" w:eastAsia="宋体" w:cs="Times New Roman"/>
                <w:b/>
                <w:kern w:val="2"/>
                <w:sz w:val="21"/>
                <w:szCs w:val="21"/>
                <w:lang w:val="en-US" w:eastAsia="zh-CN" w:bidi="ar-SA"/>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hint="eastAsia" w:ascii="宋体" w:hAnsi="宋体" w:cs="宋体"/>
                <w:sz w:val="21"/>
                <w:szCs w:val="21"/>
              </w:rPr>
              <w:t>施，</w:t>
            </w:r>
            <w:r>
              <w:rPr>
                <w:rFonts w:hint="eastAsia" w:ascii="宋体" w:hAnsi="宋体" w:cs="宋体"/>
                <w:sz w:val="21"/>
                <w:szCs w:val="21"/>
                <w:highlight w:val="none"/>
              </w:rPr>
              <w:t>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年12月实施，满意度评价98分，</w:t>
            </w:r>
            <w:r>
              <w:rPr>
                <w:rFonts w:hint="eastAsia" w:ascii="宋体" w:hAnsi="宋体" w:cs="宋体"/>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210" w:firstLineChars="100"/>
              <w:rPr>
                <w:rFonts w:ascii="宋体" w:hAnsi="宋体"/>
                <w:b/>
                <w:sz w:val="21"/>
                <w:szCs w:val="21"/>
              </w:rPr>
            </w:pPr>
            <w:r>
              <w:rPr>
                <w:rFonts w:hint="eastAsia" w:ascii="宋体" w:hAnsi="宋体" w:cs="宋体"/>
                <w:sz w:val="21"/>
                <w:szCs w:val="21"/>
              </w:rPr>
              <w:t>建立有《内部审核控制程序》，规定了内审频次一年一次，内审时间：20</w:t>
            </w:r>
            <w:r>
              <w:rPr>
                <w:rFonts w:hint="eastAsia" w:ascii="宋体" w:hAnsi="宋体" w:cs="宋体"/>
                <w:sz w:val="21"/>
                <w:szCs w:val="21"/>
                <w:lang w:val="en-US" w:eastAsia="zh-CN"/>
              </w:rPr>
              <w:t>20</w:t>
            </w:r>
            <w:r>
              <w:rPr>
                <w:rFonts w:hint="eastAsia" w:ascii="宋体" w:hAnsi="宋体" w:cs="宋体"/>
                <w:sz w:val="21"/>
                <w:szCs w:val="21"/>
              </w:rPr>
              <w:t>年12月</w:t>
            </w:r>
            <w:r>
              <w:rPr>
                <w:rFonts w:hint="eastAsia" w:ascii="宋体" w:hAnsi="宋体" w:cs="宋体"/>
                <w:sz w:val="21"/>
                <w:szCs w:val="21"/>
                <w:lang w:val="en-US" w:eastAsia="zh-CN"/>
              </w:rPr>
              <w:t>1</w:t>
            </w:r>
            <w:r>
              <w:rPr>
                <w:rFonts w:hint="eastAsia" w:ascii="宋体" w:hAnsi="宋体" w:cs="宋体"/>
                <w:sz w:val="21"/>
                <w:szCs w:val="21"/>
              </w:rPr>
              <w:t>0日，拟定了审核实施表，明确了内审范围，内审人员经培训合格上岗，能力满足要求，未出现审核本部门情况，内审不符合项2项，</w:t>
            </w:r>
            <w:bookmarkStart w:id="23" w:name="_GoBack"/>
            <w:r>
              <w:rPr>
                <w:rFonts w:hint="eastAsia" w:ascii="宋体" w:hAnsi="宋体" w:cs="宋体"/>
                <w:color w:val="000000"/>
                <w:sz w:val="21"/>
                <w:szCs w:val="21"/>
                <w:highlight w:val="none"/>
              </w:rPr>
              <w:t>涉及</w:t>
            </w:r>
            <w:r>
              <w:rPr>
                <w:rFonts w:hint="eastAsia" w:ascii="宋体" w:hAnsi="宋体" w:cs="宋体"/>
                <w:sz w:val="21"/>
                <w:szCs w:val="21"/>
                <w:highlight w:val="none"/>
              </w:rPr>
              <w:t>业务拓展部</w:t>
            </w:r>
            <w:r>
              <w:rPr>
                <w:rFonts w:hint="eastAsia" w:ascii="宋体" w:hAnsi="宋体" w:cs="宋体"/>
                <w:color w:val="000000"/>
                <w:sz w:val="21"/>
                <w:szCs w:val="21"/>
                <w:highlight w:val="none"/>
              </w:rPr>
              <w:t>Q8.</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条款未查见对“亭江街71号小区”物业服务合同评审的证据</w:t>
            </w:r>
            <w:r>
              <w:rPr>
                <w:rFonts w:hint="eastAsia" w:ascii="叶根友钢笔行书简体" w:eastAsia="叶根友钢笔行书简体"/>
                <w:sz w:val="21"/>
                <w:szCs w:val="21"/>
                <w:highlight w:val="none"/>
              </w:rPr>
              <w:t>和管理处E/S8.</w:t>
            </w:r>
            <w:r>
              <w:rPr>
                <w:rFonts w:hint="eastAsia" w:ascii="叶根友钢笔行书简体" w:eastAsia="叶根友钢笔行书简体"/>
                <w:sz w:val="21"/>
                <w:szCs w:val="21"/>
                <w:highlight w:val="none"/>
                <w:lang w:val="en-US" w:eastAsia="zh-CN"/>
              </w:rPr>
              <w:t>2</w:t>
            </w:r>
            <w:r>
              <w:rPr>
                <w:rFonts w:hint="eastAsia" w:ascii="叶根友钢笔行书简体" w:eastAsia="叶根友钢笔行书简体"/>
                <w:sz w:val="21"/>
                <w:szCs w:val="21"/>
                <w:highlight w:val="none"/>
              </w:rPr>
              <w:t>条款消防水泵房水压要求未进行明确标识</w:t>
            </w:r>
            <w:bookmarkEnd w:id="23"/>
            <w:r>
              <w:rPr>
                <w:rFonts w:hint="eastAsia" w:ascii="宋体" w:hAnsi="宋体" w:cs="宋体"/>
                <w:sz w:val="21"/>
                <w:szCs w:val="21"/>
              </w:rPr>
              <w:t>，针对该不符合项，已及时采取纠正措施后，经内审员验证关闭。内审的有效性需要改善。</w:t>
            </w:r>
          </w:p>
          <w:p>
            <w:pPr>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sz w:val="21"/>
                <w:szCs w:val="21"/>
              </w:rPr>
              <w:t>管理评审频次为一年一次、本次管理评审于2020年1</w:t>
            </w:r>
            <w:r>
              <w:rPr>
                <w:rFonts w:hint="eastAsia" w:ascii="宋体" w:hAnsi="宋体" w:cs="宋体"/>
                <w:sz w:val="21"/>
                <w:szCs w:val="21"/>
                <w:lang w:val="en-US" w:eastAsia="zh-CN"/>
              </w:rPr>
              <w:t>2</w:t>
            </w:r>
            <w:r>
              <w:rPr>
                <w:rFonts w:hint="eastAsia" w:ascii="宋体" w:hAnsi="宋体" w:cs="宋体"/>
                <w:sz w:val="21"/>
                <w:szCs w:val="21"/>
              </w:rPr>
              <w:t>月</w:t>
            </w:r>
            <w:r>
              <w:rPr>
                <w:rFonts w:hint="eastAsia" w:ascii="宋体" w:hAnsi="宋体" w:cs="宋体"/>
                <w:sz w:val="21"/>
                <w:szCs w:val="21"/>
                <w:lang w:val="en-US" w:eastAsia="zh-CN"/>
              </w:rPr>
              <w:t>2</w:t>
            </w:r>
            <w:r>
              <w:rPr>
                <w:rFonts w:hint="eastAsia" w:ascii="宋体" w:hAnsi="宋体" w:cs="宋体"/>
                <w:sz w:val="21"/>
                <w:szCs w:val="21"/>
              </w:rPr>
              <w:t>5日由总经理主持完成、提供主要输入材料有各部门总结，输入信息基本充分和满足要求。输出见“管理评审报告”,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0"/>
              </w:numPr>
              <w:spacing w:line="240" w:lineRule="exact"/>
              <w:rPr>
                <w:rFonts w:ascii="宋体" w:hAnsi="宋体"/>
                <w:b/>
                <w:sz w:val="21"/>
                <w:szCs w:val="21"/>
              </w:rPr>
            </w:pPr>
            <w:r>
              <w:rPr>
                <w:rFonts w:hint="eastAsia" w:ascii="宋体" w:hAnsi="宋体"/>
                <w:b/>
                <w:sz w:val="21"/>
                <w:szCs w:val="21"/>
                <w:lang w:val="en-US" w:eastAsia="zh-CN"/>
              </w:rPr>
              <w:t>5.</w:t>
            </w:r>
            <w:r>
              <w:rPr>
                <w:rFonts w:ascii="宋体" w:hAnsi="宋体"/>
                <w:b/>
                <w:sz w:val="21"/>
                <w:szCs w:val="21"/>
              </w:rPr>
              <w:t>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hint="eastAsia" w:ascii="宋体" w:hAnsi="宋体" w:eastAsia="宋体" w:cs="Times New Roman"/>
                <w:b/>
                <w:kern w:val="2"/>
                <w:sz w:val="21"/>
                <w:szCs w:val="21"/>
                <w:lang w:val="en-US" w:eastAsia="zh-CN" w:bidi="ar-SA"/>
              </w:rPr>
            </w:pPr>
            <w:r>
              <w:rPr>
                <w:rFonts w:hint="eastAsia" w:ascii="宋体" w:hAnsi="宋体"/>
                <w:b/>
                <w:sz w:val="21"/>
                <w:szCs w:val="21"/>
              </w:rPr>
              <w:t xml:space="preserve">  不适</w:t>
            </w:r>
            <w:r>
              <w:rPr>
                <w:rFonts w:hint="eastAsia" w:ascii="宋体" w:hAnsi="宋体"/>
                <w:b/>
                <w:sz w:val="21"/>
                <w:szCs w:val="21"/>
                <w:lang w:val="en-US"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1" w:firstLineChars="100"/>
              <w:rPr>
                <w:rFonts w:hint="eastAsia" w:ascii="宋体" w:hAnsi="宋体" w:eastAsia="宋体" w:cs="Times New Roman"/>
                <w:b/>
                <w:kern w:val="2"/>
                <w:sz w:val="21"/>
                <w:szCs w:val="21"/>
                <w:lang w:val="en-US" w:eastAsia="zh-CN" w:bidi="ar-SA"/>
              </w:rPr>
            </w:pPr>
            <w:r>
              <w:rPr>
                <w:rFonts w:hint="eastAsia" w:ascii="宋体" w:hAnsi="宋体"/>
                <w:b/>
                <w:sz w:val="21"/>
                <w:szCs w:val="21"/>
              </w:rPr>
              <w:t>不适</w:t>
            </w:r>
            <w:r>
              <w:rPr>
                <w:rFonts w:hint="eastAsia" w:ascii="宋体" w:hAnsi="宋体"/>
                <w:b/>
                <w:sz w:val="21"/>
                <w:szCs w:val="21"/>
                <w:lang w:val="en-US"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ascii="宋体" w:hAnsi="宋体"/>
                <w:b/>
                <w:sz w:val="21"/>
                <w:szCs w:val="21"/>
              </w:rPr>
            </w:pPr>
          </w:p>
          <w:p>
            <w:pPr>
              <w:spacing w:line="240" w:lineRule="exact"/>
              <w:ind w:firstLine="211" w:firstLineChars="100"/>
              <w:rPr>
                <w:rFonts w:hint="eastAsia" w:ascii="宋体" w:hAnsi="宋体" w:eastAsia="宋体" w:cs="Times New Roman"/>
                <w:b/>
                <w:kern w:val="2"/>
                <w:sz w:val="21"/>
                <w:szCs w:val="21"/>
                <w:lang w:val="en-US" w:eastAsia="zh-CN" w:bidi="ar-SA"/>
              </w:rPr>
            </w:pPr>
            <w:r>
              <w:rPr>
                <w:rFonts w:hint="eastAsia" w:ascii="宋体" w:hAnsi="宋体"/>
                <w:b/>
                <w:sz w:val="21"/>
                <w:szCs w:val="21"/>
              </w:rPr>
              <w:t>不适</w:t>
            </w:r>
            <w:r>
              <w:rPr>
                <w:rFonts w:hint="eastAsia" w:ascii="宋体" w:hAnsi="宋体"/>
                <w:b/>
                <w:sz w:val="21"/>
                <w:szCs w:val="21"/>
                <w:lang w:val="en-US"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rPr>
              <w:t xml:space="preserve"> </w:t>
            </w: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ascii="宋体" w:hAnsi="宋体" w:cs="宋体"/>
                <w:sz w:val="21"/>
                <w:szCs w:val="21"/>
              </w:rPr>
            </w:pPr>
            <w:r>
              <w:rPr>
                <w:rFonts w:hint="eastAsia" w:ascii="宋体" w:hAnsi="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 w:val="21"/>
                <w:szCs w:val="21"/>
              </w:rPr>
              <w:t>纠正措施的有效性需要改善。</w:t>
            </w:r>
          </w:p>
          <w:p>
            <w:pPr>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4"/>
              </w:numPr>
              <w:spacing w:line="240" w:lineRule="exact"/>
              <w:ind w:left="105" w:hanging="105" w:hangingChars="50"/>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ind w:left="-120" w:leftChars="-50" w:firstLine="422" w:firstLineChars="200"/>
              <w:rPr>
                <w:rFonts w:ascii="宋体" w:hAnsi="宋体" w:eastAsia="宋体" w:cs="Times New Roman"/>
                <w:b/>
                <w:kern w:val="2"/>
                <w:sz w:val="21"/>
                <w:szCs w:val="21"/>
                <w:lang w:val="en-US" w:eastAsia="zh-CN" w:bidi="ar-SA"/>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4"/>
              </w:numPr>
              <w:spacing w:line="240" w:lineRule="exact"/>
              <w:ind w:left="105" w:hanging="105" w:hangingChars="50"/>
              <w:rPr>
                <w:rFonts w:ascii="宋体" w:hAnsi="宋体"/>
                <w:b/>
                <w:sz w:val="21"/>
                <w:szCs w:val="21"/>
              </w:rPr>
            </w:pPr>
            <w:r>
              <w:rPr>
                <w:rFonts w:hint="eastAsia" w:ascii="宋体" w:hAnsi="宋体"/>
                <w:b/>
                <w:sz w:val="21"/>
                <w:szCs w:val="21"/>
              </w:rPr>
              <w:t>创新情况</w:t>
            </w:r>
          </w:p>
          <w:p>
            <w:pPr>
              <w:spacing w:line="240" w:lineRule="exact"/>
              <w:ind w:left="-120" w:leftChars="-50" w:firstLine="531" w:firstLineChars="252"/>
              <w:rPr>
                <w:rFonts w:ascii="宋体" w:hAnsi="宋体" w:eastAsia="宋体" w:cs="Times New Roman"/>
                <w:b/>
                <w:kern w:val="2"/>
                <w:sz w:val="21"/>
                <w:szCs w:val="21"/>
                <w:lang w:val="en-US" w:eastAsia="zh-CN" w:bidi="ar-SA"/>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4"/>
              </w:numPr>
              <w:spacing w:line="240" w:lineRule="exact"/>
              <w:ind w:left="105" w:hanging="105" w:hangingChars="50"/>
              <w:rPr>
                <w:rFonts w:ascii="宋体" w:hAnsi="宋体"/>
                <w:b/>
                <w:sz w:val="21"/>
                <w:szCs w:val="21"/>
              </w:rPr>
            </w:pPr>
            <w:r>
              <w:rPr>
                <w:rFonts w:hint="eastAsia" w:ascii="宋体" w:hAnsi="宋体"/>
                <w:b/>
                <w:sz w:val="21"/>
                <w:szCs w:val="21"/>
              </w:rPr>
              <w:t>上次不符合的整改情况</w:t>
            </w:r>
          </w:p>
          <w:p>
            <w:pPr>
              <w:spacing w:line="240" w:lineRule="exact"/>
              <w:ind w:left="-120" w:leftChars="-50" w:firstLine="420" w:firstLineChars="200"/>
              <w:rPr>
                <w:rFonts w:ascii="宋体" w:hAnsi="宋体" w:eastAsia="宋体" w:cs="Times New Roman"/>
                <w:b/>
                <w:kern w:val="2"/>
                <w:sz w:val="21"/>
                <w:szCs w:val="21"/>
                <w:lang w:val="en-US" w:eastAsia="zh-CN" w:bidi="ar-SA"/>
              </w:rPr>
            </w:pPr>
            <w:r>
              <w:rPr>
                <w:rFonts w:hint="eastAsia" w:ascii="宋体" w:hAnsi="宋体" w:cs="宋体"/>
                <w:sz w:val="21"/>
                <w:szCs w:val="21"/>
              </w:rPr>
              <w:t>上次不符合为管理处Q</w:t>
            </w:r>
            <w:r>
              <w:rPr>
                <w:rFonts w:hint="eastAsia" w:ascii="宋体" w:hAnsi="宋体" w:cs="宋体"/>
                <w:sz w:val="21"/>
                <w:szCs w:val="21"/>
                <w:lang w:val="en-US" w:eastAsia="zh-CN"/>
              </w:rPr>
              <w:t>7.1.5</w:t>
            </w:r>
            <w:r>
              <w:rPr>
                <w:rFonts w:hint="eastAsia" w:ascii="宋体" w:hAnsi="宋体" w:cs="宋体"/>
                <w:sz w:val="21"/>
                <w:szCs w:val="21"/>
              </w:rPr>
              <w:t>条款，经本次审核验证均整改且无类似不符合情况出现。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537" w:firstLineChars="223"/>
        <w:rPr>
          <w:rFonts w:hint="eastAsia" w:ascii="宋体" w:eastAsia="宋体"/>
          <w:b/>
          <w:szCs w:val="21"/>
          <w:lang w:val="en-US" w:eastAsia="zh-CN"/>
        </w:rPr>
      </w:pPr>
      <w:r>
        <w:rPr>
          <w:rFonts w:hint="eastAsia" w:ascii="宋体" w:hAnsi="宋体"/>
          <w:b/>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color w:val="000000" w:themeColor="text1"/>
          <w:sz w:val="16"/>
          <w:szCs w:val="16"/>
        </w:rPr>
      </w:pPr>
      <w:r>
        <w:rPr>
          <w:rFonts w:hint="eastAsia"/>
          <w:b/>
          <w:sz w:val="26"/>
          <w:szCs w:val="26"/>
        </w:rPr>
        <w:t>八、本次审核不符合项</w:t>
      </w:r>
    </w:p>
    <w:p>
      <w:pPr>
        <w:spacing w:line="400" w:lineRule="exact"/>
        <w:ind w:left="420" w:leftChars="175" w:firstLine="101" w:firstLineChars="42"/>
        <w:rPr>
          <w:rFonts w:ascii="宋体" w:hAnsi="宋体"/>
          <w:b/>
          <w:color w:val="000000" w:themeColor="text1"/>
          <w:szCs w:val="21"/>
        </w:rPr>
      </w:pPr>
      <w:r>
        <w:rPr>
          <w:rFonts w:hint="eastAsia" w:ascii="宋体" w:hAnsi="宋体"/>
          <w:b/>
          <w:color w:val="000000" w:themeColor="text1"/>
          <w:szCs w:val="21"/>
        </w:rPr>
        <w:t>本次审核共开具不符合项报告</w:t>
      </w:r>
      <w:r>
        <w:rPr>
          <w:rFonts w:hint="eastAsia" w:ascii="宋体" w:hAnsi="宋体"/>
          <w:b/>
          <w:color w:val="000000" w:themeColor="text1"/>
          <w:szCs w:val="21"/>
          <w:lang w:val="en-US" w:eastAsia="zh-CN"/>
        </w:rPr>
        <w:t>1</w:t>
      </w:r>
      <w:r>
        <w:rPr>
          <w:rFonts w:hint="eastAsia" w:ascii="宋体" w:hAnsi="宋体"/>
          <w:b/>
          <w:color w:val="000000" w:themeColor="text1"/>
          <w:szCs w:val="21"/>
        </w:rPr>
        <w:t>项；其中</w:t>
      </w:r>
      <w:r>
        <w:rPr>
          <w:rFonts w:ascii="宋体" w:hAnsi="宋体"/>
          <w:b/>
          <w:color w:val="000000" w:themeColor="text1"/>
          <w:szCs w:val="21"/>
        </w:rPr>
        <w:pict>
          <v:line id="直接连接符 1" o:spid="_x0000_s2055"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color w:val="000000" w:themeColor="text1"/>
          <w:szCs w:val="21"/>
        </w:rPr>
        <w:t>严重不符合</w:t>
      </w:r>
      <w:r>
        <w:rPr>
          <w:rFonts w:hint="eastAsia" w:ascii="宋体" w:hAnsi="宋体"/>
          <w:b/>
          <w:color w:val="000000" w:themeColor="text1"/>
          <w:szCs w:val="21"/>
          <w:lang w:val="en-US" w:eastAsia="zh-CN"/>
        </w:rPr>
        <w:t xml:space="preserve"> 0 </w:t>
      </w:r>
      <w:r>
        <w:rPr>
          <w:rFonts w:hint="eastAsia" w:ascii="宋体" w:hAnsi="宋体"/>
          <w:b/>
          <w:color w:val="000000" w:themeColor="text1"/>
          <w:szCs w:val="21"/>
        </w:rPr>
        <w:t>项，一般不符合</w:t>
      </w:r>
      <w:r>
        <w:rPr>
          <w:rFonts w:hint="eastAsia" w:ascii="宋体" w:hAnsi="宋体"/>
          <w:b/>
          <w:color w:val="000000" w:themeColor="text1"/>
          <w:szCs w:val="21"/>
          <w:lang w:val="en-US" w:eastAsia="zh-CN"/>
        </w:rPr>
        <w:t xml:space="preserve"> 1 </w:t>
      </w:r>
      <w:r>
        <w:rPr>
          <w:rFonts w:hint="eastAsia" w:ascii="宋体" w:hAnsi="宋体"/>
          <w:b/>
          <w:color w:val="000000" w:themeColor="text1"/>
          <w:szCs w:val="21"/>
        </w:rPr>
        <w:t>项，观察项</w:t>
      </w:r>
      <w:r>
        <w:rPr>
          <w:rFonts w:hint="eastAsia" w:ascii="宋体" w:hAnsi="宋体"/>
          <w:b/>
          <w:color w:val="000000" w:themeColor="text1"/>
          <w:szCs w:val="21"/>
          <w:lang w:val="en-US" w:eastAsia="zh-CN"/>
        </w:rPr>
        <w:t xml:space="preserve">  0</w:t>
      </w:r>
      <w:r>
        <w:rPr>
          <w:rFonts w:hint="eastAsia" w:ascii="宋体" w:hAnsi="宋体"/>
          <w:b/>
          <w:color w:val="000000" w:themeColor="text1"/>
          <w:szCs w:val="21"/>
        </w:rPr>
        <w:t>项分布在</w:t>
      </w:r>
      <w:r>
        <w:rPr>
          <w:rFonts w:hint="eastAsia" w:ascii="宋体" w:hAnsi="宋体"/>
          <w:b/>
          <w:color w:val="000000" w:themeColor="text1"/>
          <w:szCs w:val="21"/>
          <w:lang w:val="en-US" w:eastAsia="zh-CN"/>
        </w:rPr>
        <w:t>管理处</w:t>
      </w:r>
      <w:r>
        <w:rPr>
          <w:rFonts w:hint="eastAsia" w:ascii="宋体" w:hAnsi="宋体"/>
          <w:b/>
          <w:color w:val="000000" w:themeColor="text1"/>
          <w:szCs w:val="21"/>
        </w:rPr>
        <w:t>部门</w:t>
      </w:r>
      <w:r>
        <w:rPr>
          <w:rFonts w:hint="eastAsia" w:ascii="宋体" w:hAnsi="宋体"/>
          <w:b/>
          <w:color w:val="000000" w:themeColor="text1"/>
          <w:szCs w:val="21"/>
          <w:lang w:val="en-US" w:eastAsia="zh-CN"/>
        </w:rPr>
        <w:t>8.5.1</w:t>
      </w:r>
      <w:r>
        <w:rPr>
          <w:rFonts w:hint="eastAsia" w:ascii="宋体" w:hAnsi="宋体"/>
          <w:b/>
          <w:color w:val="000000" w:themeColor="text1"/>
          <w:szCs w:val="21"/>
        </w:rPr>
        <w:t>条款，见不符合项分布表。（</w:t>
      </w:r>
      <w:r>
        <w:rPr>
          <w:rFonts w:ascii="宋体" w:hAnsi="宋体"/>
          <w:b/>
          <w:color w:val="000000" w:themeColor="text1"/>
          <w:szCs w:val="21"/>
        </w:rPr>
        <w:t>Q/J/E/S</w:t>
      </w:r>
      <w:r>
        <w:rPr>
          <w:rFonts w:hint="eastAsia" w:ascii="宋体" w:hAnsi="宋体"/>
          <w:b/>
          <w:color w:val="000000" w:themeColor="text1"/>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r>
              <w:rPr>
                <w:rFonts w:hint="eastAsia" w:ascii="宋体" w:hAnsi="宋体"/>
                <w:b/>
                <w:szCs w:val="21"/>
              </w:rPr>
              <w:t>综上所述，审核组一致认为（四川众弘成物业服务有限公司）的质量管理体系适宜、充分、得到良好的实施和保持，体系运行持续有效。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top"/>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lang w:val="en-US" w:eastAsia="zh-CN"/>
        </w:rPr>
        <w:t>60</w:t>
      </w:r>
      <w:r>
        <w:rPr>
          <w:rFonts w:hint="eastAsia"/>
          <w:b/>
          <w:sz w:val="21"/>
        </w:rPr>
        <w:t>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1679575</wp:posOffset>
            </wp:positionH>
            <wp:positionV relativeFrom="paragraph">
              <wp:posOffset>203835</wp:posOffset>
            </wp:positionV>
            <wp:extent cx="401955" cy="388620"/>
            <wp:effectExtent l="0" t="0" r="4445" b="508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401955" cy="38862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1581150</wp:posOffset>
            </wp:positionH>
            <wp:positionV relativeFrom="paragraph">
              <wp:posOffset>106045</wp:posOffset>
            </wp:positionV>
            <wp:extent cx="632460" cy="369570"/>
            <wp:effectExtent l="0" t="0" r="2540" b="11430"/>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7"/>
                    <a:srcRect l="19829" t="27682" r="28673" b="20988"/>
                    <a:stretch>
                      <a:fillRect/>
                    </a:stretch>
                  </pic:blipFill>
                  <pic:spPr>
                    <a:xfrm>
                      <a:off x="0" y="0"/>
                      <a:ext cx="632460" cy="369570"/>
                    </a:xfrm>
                    <a:prstGeom prst="rect">
                      <a:avLst/>
                    </a:prstGeom>
                  </pic:spPr>
                </pic:pic>
              </a:graphicData>
            </a:graphic>
          </wp:anchor>
        </w:drawing>
      </w:r>
      <w:r>
        <w:rPr>
          <w:rFonts w:hint="eastAsia" w:eastAsia="宋体"/>
          <w:lang w:eastAsia="zh-CN"/>
        </w:rPr>
        <w:drawing>
          <wp:anchor distT="0" distB="0" distL="114300" distR="114300" simplePos="0" relativeHeight="251663360" behindDoc="0" locked="0" layoutInCell="1" allowOverlap="1">
            <wp:simplePos x="0" y="0"/>
            <wp:positionH relativeFrom="column">
              <wp:posOffset>2346960</wp:posOffset>
            </wp:positionH>
            <wp:positionV relativeFrom="paragraph">
              <wp:posOffset>144145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8"/>
                    <a:stretch>
                      <a:fillRect/>
                    </a:stretch>
                  </pic:blipFill>
                  <pic:spPr>
                    <a:xfrm>
                      <a:off x="0" y="0"/>
                      <a:ext cx="544830" cy="248920"/>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2021年4月30日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color w:val="000000" w:themeColor="text1"/>
          <w:sz w:val="21"/>
          <w:szCs w:val="21"/>
        </w:rPr>
      </w:pPr>
      <w:r>
        <w:rPr>
          <w:b/>
          <w:bCs/>
          <w:sz w:val="21"/>
          <w:szCs w:val="21"/>
        </w:rPr>
        <w:t>1.</w:t>
      </w:r>
      <w:r>
        <w:rPr>
          <w:rFonts w:hint="eastAsia"/>
          <w:b/>
          <w:bCs/>
          <w:color w:val="000000" w:themeColor="text1"/>
          <w:sz w:val="21"/>
          <w:szCs w:val="21"/>
        </w:rPr>
        <w:t>审核中发现的</w:t>
      </w:r>
      <w:r>
        <w:rPr>
          <w:rFonts w:hint="eastAsia"/>
          <w:b/>
          <w:color w:val="000000" w:themeColor="text1"/>
          <w:sz w:val="21"/>
          <w:szCs w:val="21"/>
        </w:rPr>
        <w:sym w:font="Wingdings 2" w:char="0052"/>
      </w:r>
      <w:r>
        <w:rPr>
          <w:b/>
          <w:color w:val="000000" w:themeColor="text1"/>
          <w:sz w:val="21"/>
          <w:szCs w:val="21"/>
        </w:rPr>
        <w:t>QMS (</w:t>
      </w:r>
      <w:r>
        <w:rPr>
          <w:rFonts w:hint="eastAsia"/>
          <w:b/>
          <w:color w:val="000000" w:themeColor="text1"/>
          <w:sz w:val="21"/>
          <w:szCs w:val="21"/>
          <w:lang w:val="en-US" w:eastAsia="zh-CN"/>
        </w:rPr>
        <w:t xml:space="preserve"> 1  </w:t>
      </w:r>
      <w:r>
        <w:rPr>
          <w:b/>
          <w:color w:val="000000" w:themeColor="text1"/>
          <w:sz w:val="21"/>
          <w:szCs w:val="21"/>
        </w:rPr>
        <w:t>)</w:t>
      </w:r>
      <w:r>
        <w:rPr>
          <w:rFonts w:hint="eastAsia"/>
          <w:b/>
          <w:color w:val="000000" w:themeColor="text1"/>
          <w:sz w:val="21"/>
          <w:szCs w:val="21"/>
        </w:rPr>
        <w:t>个一般不符合，</w:t>
      </w:r>
      <w:r>
        <w:rPr>
          <w:b/>
          <w:color w:val="000000" w:themeColor="text1"/>
          <w:sz w:val="21"/>
          <w:szCs w:val="21"/>
        </w:rPr>
        <w:t>(</w:t>
      </w:r>
      <w:r>
        <w:rPr>
          <w:rFonts w:hint="eastAsia"/>
          <w:b/>
          <w:color w:val="000000" w:themeColor="text1"/>
          <w:sz w:val="21"/>
          <w:szCs w:val="21"/>
          <w:lang w:val="en-US" w:eastAsia="zh-CN"/>
        </w:rPr>
        <w:t xml:space="preserve">  0 </w:t>
      </w:r>
      <w:r>
        <w:rPr>
          <w:b/>
          <w:color w:val="000000" w:themeColor="text1"/>
          <w:sz w:val="21"/>
          <w:szCs w:val="21"/>
        </w:rPr>
        <w:t>)</w:t>
      </w:r>
      <w:r>
        <w:rPr>
          <w:rFonts w:hint="eastAsia"/>
          <w:b/>
          <w:color w:val="000000" w:themeColor="text1"/>
          <w:sz w:val="21"/>
          <w:szCs w:val="21"/>
        </w:rPr>
        <w:t>个严重不符合，</w:t>
      </w:r>
      <w:r>
        <w:rPr>
          <w:rFonts w:hint="eastAsia"/>
          <w:b/>
          <w:color w:val="000000" w:themeColor="text1"/>
          <w:sz w:val="21"/>
          <w:szCs w:val="21"/>
        </w:rPr>
        <w:sym w:font="Wingdings 2" w:char="0052"/>
      </w:r>
      <w:r>
        <w:rPr>
          <w:rFonts w:hint="eastAsia"/>
          <w:b/>
          <w:color w:val="000000" w:themeColor="text1"/>
          <w:sz w:val="21"/>
          <w:szCs w:val="21"/>
        </w:rPr>
        <w:t>验证合格□仍有问题</w:t>
      </w:r>
    </w:p>
    <w:p>
      <w:pPr>
        <w:spacing w:line="360" w:lineRule="exact"/>
        <w:ind w:firstLine="843" w:firstLineChars="400"/>
        <w:rPr>
          <w:b/>
          <w:bCs/>
          <w:color w:val="000000" w:themeColor="text1"/>
          <w:sz w:val="21"/>
          <w:szCs w:val="21"/>
        </w:rPr>
      </w:pPr>
      <w:r>
        <w:rPr>
          <w:rFonts w:hint="eastAsia"/>
          <w:b/>
          <w:bCs/>
          <w:color w:val="000000" w:themeColor="text1"/>
          <w:sz w:val="21"/>
          <w:szCs w:val="21"/>
        </w:rPr>
        <w:t>审核中发现的□50430 (    )个一般不符合，(    )个严重不符合，□验证合格□仍有问题</w:t>
      </w:r>
    </w:p>
    <w:p>
      <w:pPr>
        <w:spacing w:line="360" w:lineRule="exact"/>
        <w:ind w:firstLine="843" w:firstLineChars="400"/>
        <w:rPr>
          <w:b/>
          <w:color w:val="000000" w:themeColor="text1"/>
          <w:sz w:val="21"/>
          <w:szCs w:val="21"/>
        </w:rPr>
      </w:pP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EMS ()</w:t>
      </w:r>
      <w:r>
        <w:rPr>
          <w:rFonts w:hint="eastAsia"/>
          <w:b/>
          <w:color w:val="000000" w:themeColor="text1"/>
          <w:sz w:val="21"/>
          <w:szCs w:val="21"/>
        </w:rPr>
        <w:t>个一般不符合，</w:t>
      </w:r>
      <w:r>
        <w:rPr>
          <w:b/>
          <w:color w:val="000000" w:themeColor="text1"/>
          <w:sz w:val="21"/>
          <w:szCs w:val="21"/>
        </w:rPr>
        <w:t>( )</w:t>
      </w:r>
      <w:r>
        <w:rPr>
          <w:rFonts w:hint="eastAsia"/>
          <w:b/>
          <w:color w:val="000000" w:themeColor="text1"/>
          <w:sz w:val="21"/>
          <w:szCs w:val="21"/>
        </w:rPr>
        <w:t>个严重不符合，□验证合格□仍有问题</w:t>
      </w:r>
    </w:p>
    <w:p>
      <w:pPr>
        <w:spacing w:line="360" w:lineRule="exact"/>
        <w:ind w:firstLine="843" w:firstLineChars="400"/>
        <w:rPr>
          <w:b/>
          <w:color w:val="000000" w:themeColor="text1"/>
          <w:sz w:val="21"/>
          <w:szCs w:val="21"/>
        </w:rPr>
      </w:pP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OHSMS (    )</w:t>
      </w:r>
      <w:r>
        <w:rPr>
          <w:rFonts w:hint="eastAsia"/>
          <w:b/>
          <w:color w:val="000000" w:themeColor="text1"/>
          <w:sz w:val="21"/>
          <w:szCs w:val="21"/>
        </w:rPr>
        <w:t>个一般不符合，</w:t>
      </w:r>
      <w:r>
        <w:rPr>
          <w:b/>
          <w:color w:val="000000" w:themeColor="text1"/>
          <w:sz w:val="21"/>
          <w:szCs w:val="21"/>
        </w:rPr>
        <w:t>(    )</w:t>
      </w:r>
      <w:r>
        <w:rPr>
          <w:rFonts w:hint="eastAsia"/>
          <w:b/>
          <w:color w:val="000000" w:themeColor="text1"/>
          <w:sz w:val="21"/>
          <w:szCs w:val="21"/>
        </w:rPr>
        <w:t>个严重不符合，□验证合格□仍有问题</w:t>
      </w:r>
      <w:r>
        <w:rPr>
          <w:rFonts w:hint="eastAsia"/>
          <w:b/>
          <w:bCs/>
          <w:color w:val="000000" w:themeColor="text1"/>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988" w:firstLineChars="900"/>
        <w:rPr>
          <w:b/>
          <w:sz w:val="21"/>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1186180</wp:posOffset>
            </wp:positionH>
            <wp:positionV relativeFrom="paragraph">
              <wp:posOffset>255270</wp:posOffset>
            </wp:positionV>
            <wp:extent cx="401955" cy="388620"/>
            <wp:effectExtent l="0" t="0" r="4445" b="508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noChangeArrowheads="1"/>
                    </pic:cNvPicPr>
                  </pic:nvPicPr>
                  <pic:blipFill>
                    <a:blip r:embed="rId6" cstate="print"/>
                    <a:srcRect/>
                    <a:stretch>
                      <a:fillRect/>
                    </a:stretch>
                  </pic:blipFill>
                  <pic:spPr>
                    <a:xfrm>
                      <a:off x="0" y="0"/>
                      <a:ext cx="401955" cy="388620"/>
                    </a:xfrm>
                    <a:prstGeom prst="rect">
                      <a:avLst/>
                    </a:prstGeom>
                    <a:noFill/>
                    <a:ln w="9525">
                      <a:noFill/>
                      <a:miter lim="800000"/>
                      <a:headEnd/>
                      <a:tailEnd/>
                    </a:ln>
                  </pic:spPr>
                </pic:pic>
              </a:graphicData>
            </a:graphic>
          </wp:anchor>
        </w:drawing>
      </w: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叶根友钢笔行书简体">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7BDFAB"/>
    <w:multiLevelType w:val="singleLevel"/>
    <w:tmpl w:val="DA7BDFAB"/>
    <w:lvl w:ilvl="0" w:tentative="0">
      <w:start w:val="2"/>
      <w:numFmt w:val="decimal"/>
      <w:suff w:val="nothing"/>
      <w:lvlText w:val="%1、"/>
      <w:lvlJc w:val="left"/>
    </w:lvl>
  </w:abstractNum>
  <w:abstractNum w:abstractNumId="1">
    <w:nsid w:val="E89D2F20"/>
    <w:multiLevelType w:val="singleLevel"/>
    <w:tmpl w:val="E89D2F20"/>
    <w:lvl w:ilvl="0" w:tentative="0">
      <w:start w:val="2"/>
      <w:numFmt w:val="decimal"/>
      <w:lvlText w:val="%1."/>
      <w:lvlJc w:val="left"/>
      <w:pPr>
        <w:tabs>
          <w:tab w:val="left" w:pos="312"/>
        </w:tabs>
      </w:pPr>
    </w:lvl>
  </w:abstractNum>
  <w:abstractNum w:abstractNumId="2">
    <w:nsid w:val="2680083D"/>
    <w:multiLevelType w:val="singleLevel"/>
    <w:tmpl w:val="2680083D"/>
    <w:lvl w:ilvl="0" w:tentative="0">
      <w:start w:val="8"/>
      <w:numFmt w:val="decimal"/>
      <w:suff w:val="space"/>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AF06B7"/>
    <w:rsid w:val="3DFC6213"/>
    <w:rsid w:val="798E2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表格文字"/>
    <w:basedOn w:val="1"/>
    <w:qFormat/>
    <w:uiPriority w:val="0"/>
    <w:pPr>
      <w:spacing w:before="25" w:after="25"/>
    </w:pPr>
    <w:rPr>
      <w:bCs/>
      <w:spacing w:val="10"/>
    </w:rPr>
  </w:style>
  <w:style w:type="character" w:customStyle="1" w:styleId="16">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2021-05-05T15:14:05Z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BF686DE0958A4127975E236BFD4B10C2</vt:lpwstr>
  </property>
</Properties>
</file>