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四川省宇辉货运有限公司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查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特种设备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管理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组织有一台在用叉车。查该特种设备年检记录，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未能提供该叉车的有效年检证明。不符合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“组织应确定、提供并维护所需的基础设施，以运行过程，并获得合格产品和服务。”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黑体" w:hAnsi="黑体" w:eastAsia="黑体" w:cs="黑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3094990</wp:posOffset>
                  </wp:positionH>
                  <wp:positionV relativeFrom="paragraph">
                    <wp:posOffset>87630</wp:posOffset>
                  </wp:positionV>
                  <wp:extent cx="588645" cy="368300"/>
                  <wp:effectExtent l="0" t="0" r="1905" b="1270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97790</wp:posOffset>
                  </wp:positionV>
                  <wp:extent cx="619125" cy="387350"/>
                  <wp:effectExtent l="0" t="0" r="9525" b="12700"/>
                  <wp:wrapNone/>
                  <wp:docPr id="13" name="图片 1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</w:t>
      </w:r>
      <w:r>
        <w:rPr>
          <w:rFonts w:hint="eastAsia" w:eastAsia="方正仿宋简体"/>
          <w:b/>
        </w:rPr>
        <w:t>日期：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903D5"/>
    <w:rsid w:val="1A34421A"/>
    <w:rsid w:val="1C745AAF"/>
    <w:rsid w:val="2B030A9B"/>
    <w:rsid w:val="42D05773"/>
    <w:rsid w:val="4351300F"/>
    <w:rsid w:val="45A63D79"/>
    <w:rsid w:val="4AAE6887"/>
    <w:rsid w:val="63C34213"/>
    <w:rsid w:val="73FB6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2021-05-13T07:04:04Z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871BA5B8DE554F29B37E9D0B83BB35EF</vt:lpwstr>
  </property>
</Properties>
</file>