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bCs/>
          <w:color w:val="000000" w:themeColor="text1"/>
          <w:sz w:val="24"/>
          <w:szCs w:val="24"/>
        </w:rPr>
      </w:pPr>
      <w:bookmarkStart w:id="0" w:name="合同编号"/>
      <w:r>
        <w:rPr>
          <w:rFonts w:hint="eastAsia"/>
          <w:b/>
          <w:bCs/>
          <w:sz w:val="24"/>
          <w:szCs w:val="24"/>
          <w:lang w:val="en-US" w:eastAsia="zh-CN"/>
        </w:rPr>
        <w:t>编号：</w:t>
      </w:r>
      <w:r>
        <w:rPr>
          <w:b/>
          <w:bCs/>
          <w:sz w:val="24"/>
          <w:szCs w:val="24"/>
        </w:rPr>
        <w:t>0331-2021-Q</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四川省宇辉货运有限公司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陈伟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黑体" w:hAnsi="黑体" w:eastAsia="黑体" w:cs="黑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GB/T19001-2016/ISO9001:2015</w:t>
      </w:r>
      <w:bookmarkEnd w:id="5"/>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四川省宇辉货运有限公司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40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成都市金牛区天和街117号4栋1层</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四川省成都市新都燕塘路3号（122）</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610000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王瑞</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18829841889</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吕小东</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吕小东</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杨小红</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道路普通货运（限许可范围内）</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31.04.01</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黑体" w:hAnsi="黑体" w:eastAsia="黑体" w:cs="黑体"/>
                <w:b/>
                <w:color w:val="000000" w:themeColor="text1"/>
                <w:sz w:val="20"/>
                <w:szCs w:val="20"/>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2018-01-05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行政部</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运营部</w:t>
            </w:r>
          </w:p>
        </w:tc>
        <w:tc>
          <w:tcPr>
            <w:tcW w:w="6804" w:type="dxa"/>
          </w:tcPr>
          <w:p>
            <w:pPr>
              <w:jc w:val="center"/>
              <w:rPr>
                <w:rFonts w:hint="eastAsia" w:ascii="宋体" w:hAnsi="宋体" w:eastAsia="宋体"/>
                <w:b/>
                <w:color w:val="000000" w:themeColor="text1"/>
                <w:spacing w:val="-20"/>
                <w:sz w:val="20"/>
                <w:szCs w:val="20"/>
                <w:u w:val="single"/>
                <w:lang w:eastAsia="zh-CN"/>
              </w:rPr>
            </w:pPr>
            <w:r>
              <w:rPr>
                <w:rFonts w:hint="eastAsia" w:ascii="宋体" w:hAnsi="宋体"/>
                <w:b/>
                <w:color w:val="000000" w:themeColor="text1"/>
                <w:sz w:val="20"/>
                <w:szCs w:val="20"/>
              </w:rPr>
              <w:t>监视和测量设备管理；不合格品控制；纠正和预防措施控制；策划管理；过程监控管理；产品验收管理；设备设施管理</w:t>
            </w:r>
            <w:r>
              <w:rPr>
                <w:rFonts w:hint="eastAsia" w:ascii="宋体" w:hAnsi="宋体"/>
                <w:b/>
                <w:color w:val="000000" w:themeColor="text1"/>
                <w:sz w:val="20"/>
                <w:szCs w:val="20"/>
                <w:lang w:eastAsia="zh-CN"/>
              </w:rPr>
              <w:t>；合同管理；外部供方管理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道路普通货运（限许可范围内）</w:t>
            </w:r>
          </w:p>
        </w:tc>
        <w:tc>
          <w:tcPr>
            <w:tcW w:w="2519" w:type="dxa"/>
          </w:tcPr>
          <w:p>
            <w:pPr>
              <w:rPr>
                <w:rFonts w:hint="eastAsia" w:eastAsia="宋体"/>
                <w:b/>
                <w:color w:val="000000" w:themeColor="text1"/>
                <w:sz w:val="20"/>
                <w:szCs w:val="20"/>
                <w:lang w:eastAsia="zh-CN"/>
              </w:rPr>
            </w:pPr>
            <w:r>
              <w:rPr>
                <w:rFonts w:hint="eastAsia"/>
                <w:b/>
                <w:color w:val="000000" w:themeColor="text1"/>
                <w:sz w:val="20"/>
                <w:szCs w:val="20"/>
                <w:lang w:eastAsia="zh-CN"/>
              </w:rPr>
              <w:t>服务</w:t>
            </w: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宋体" w:hAnsi="宋体" w:cs="宋体"/>
                <w:color w:val="000000"/>
                <w:sz w:val="21"/>
                <w:szCs w:val="21"/>
                <w:shd w:val="clear" w:color="auto" w:fill="FFFFFF"/>
              </w:rPr>
              <w:t>《中华人民共和国道路交通安全法》、《中华人民共和国道路交通安全法实施条例》、《中华人民共和国道路运输条例》</w:t>
            </w:r>
            <w:r>
              <w:rPr>
                <w:rFonts w:hint="eastAsia" w:ascii="宋体" w:hAnsi="宋体" w:cs="宋体"/>
                <w:sz w:val="21"/>
                <w:szCs w:val="21"/>
                <w:shd w:val="clear" w:color="auto" w:fill="FFFFFF"/>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ascii="黑体" w:hAnsi="黑体" w:eastAsia="黑体" w:cs="黑体"/>
          <w:b/>
          <w:color w:val="000000" w:themeColor="text1"/>
          <w:spacing w:val="-10"/>
          <w:szCs w:val="21"/>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2018</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21" w:name="OLE_LINK1"/>
      <w:r>
        <w:rPr>
          <w:rFonts w:hint="eastAsia"/>
          <w:b/>
          <w:color w:val="000000" w:themeColor="text1"/>
          <w:spacing w:val="-10"/>
          <w:szCs w:val="21"/>
          <w:lang w:val="en-US" w:eastAsia="zh-CN"/>
        </w:rPr>
        <w:t>5</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r>
        <w:rPr>
          <w:rFonts w:hint="eastAsia"/>
          <w:b/>
          <w:color w:val="000000" w:themeColor="text1"/>
          <w:spacing w:val="-10"/>
          <w:szCs w:val="21"/>
          <w:lang w:val="en-US" w:eastAsia="zh-CN"/>
        </w:rPr>
        <w:t>13</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ascii="黑体" w:hAnsi="黑体" w:eastAsia="黑体" w:cs="黑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lang w:val="en-US" w:eastAsia="zh-CN"/>
              </w:rPr>
            </w:pPr>
            <w:r>
              <w:rPr>
                <w:b/>
                <w:color w:val="000000" w:themeColor="text1"/>
                <w:sz w:val="20"/>
                <w:szCs w:val="20"/>
              </w:rPr>
              <w:t>1、</w:t>
            </w:r>
            <w:r>
              <w:rPr>
                <w:rFonts w:hint="eastAsia"/>
                <w:b/>
                <w:color w:val="000000" w:themeColor="text1"/>
                <w:sz w:val="20"/>
                <w:szCs w:val="20"/>
              </w:rPr>
              <w:t>组织及其环境的识别情况</w:t>
            </w:r>
            <w:r>
              <w:rPr>
                <w:rFonts w:hint="eastAsia"/>
                <w:b/>
                <w:color w:val="000000" w:themeColor="text1"/>
                <w:sz w:val="20"/>
                <w:szCs w:val="20"/>
                <w:lang w:val="en-US" w:eastAsia="zh-CN"/>
              </w:rPr>
              <w:t xml:space="preserve">  </w:t>
            </w:r>
          </w:p>
          <w:p>
            <w:pPr>
              <w:spacing w:line="240" w:lineRule="exact"/>
              <w:rPr>
                <w:rFonts w:hint="default" w:eastAsia="宋体"/>
                <w:b/>
                <w:color w:val="000000" w:themeColor="text1"/>
                <w:sz w:val="20"/>
                <w:szCs w:val="20"/>
                <w:lang w:val="en-US" w:eastAsia="zh-CN"/>
              </w:rPr>
            </w:pPr>
            <w:r>
              <w:rPr>
                <w:rFonts w:hint="eastAsia" w:ascii="宋体" w:hAnsi="宋体"/>
                <w:color w:val="000000" w:themeColor="text1"/>
              </w:rPr>
              <w:t>组织对内外部因素、相关方需求和期望进行了充分的识别，策划和实施有效。组织确定了体系的边界，基本适用。</w:t>
            </w:r>
            <w:r>
              <w:rPr>
                <w:rFonts w:hint="eastAsia" w:ascii="宋体" w:hAnsi="宋体"/>
                <w:color w:val="000000" w:themeColor="text1"/>
                <w:szCs w:val="24"/>
              </w:rPr>
              <w:t>管理体系删减8.3，理由合理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rFonts w:hint="eastAsia"/>
                <w:b/>
                <w:color w:val="000000" w:themeColor="text1"/>
                <w:sz w:val="20"/>
                <w:szCs w:val="20"/>
                <w:lang w:val="en-US" w:eastAsia="zh-CN"/>
              </w:rPr>
            </w:pPr>
            <w:r>
              <w:rPr>
                <w:b/>
                <w:color w:val="000000" w:themeColor="text1"/>
                <w:sz w:val="20"/>
                <w:szCs w:val="20"/>
              </w:rPr>
              <w:t>2、</w:t>
            </w:r>
            <w:r>
              <w:rPr>
                <w:rFonts w:hint="eastAsia"/>
                <w:b/>
                <w:color w:val="000000" w:themeColor="text1"/>
                <w:sz w:val="20"/>
                <w:szCs w:val="20"/>
              </w:rPr>
              <w:t>相关方需求和期望识别情况</w:t>
            </w:r>
            <w:r>
              <w:rPr>
                <w:rFonts w:hint="eastAsia"/>
                <w:b/>
                <w:color w:val="000000" w:themeColor="text1"/>
                <w:sz w:val="20"/>
                <w:szCs w:val="20"/>
                <w:lang w:val="en-US" w:eastAsia="zh-CN"/>
              </w:rPr>
              <w:t xml:space="preserve">  </w:t>
            </w:r>
          </w:p>
          <w:p>
            <w:pPr>
              <w:spacing w:line="240" w:lineRule="exact"/>
              <w:rPr>
                <w:rFonts w:hint="default" w:eastAsia="宋体"/>
                <w:b/>
                <w:color w:val="000000" w:themeColor="text1"/>
                <w:sz w:val="20"/>
                <w:szCs w:val="20"/>
                <w:lang w:val="en-US" w:eastAsia="zh-CN"/>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1"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黑体" w:hAnsi="黑体" w:eastAsia="黑体" w:cs="黑体"/>
                <w:b/>
                <w:color w:val="000000" w:themeColor="text1"/>
                <w:spacing w:val="-10"/>
                <w:sz w:val="20"/>
                <w:szCs w:val="20"/>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rPr>
                <w:b/>
                <w:color w:val="000000" w:themeColor="text1"/>
              </w:rPr>
            </w:pPr>
            <w:r>
              <w:rPr>
                <w:rFonts w:hint="eastAsia" w:ascii="宋体" w:hAnsi="宋体"/>
                <w:szCs w:val="21"/>
              </w:rPr>
              <w:t>质量方针：</w:t>
            </w:r>
            <w:r>
              <w:rPr>
                <w:rFonts w:hint="eastAsia" w:ascii="宋体" w:hAnsi="宋体" w:eastAsia="宋体" w:cs="Times New Roman"/>
                <w:color w:val="000000"/>
                <w:kern w:val="2"/>
                <w:sz w:val="21"/>
                <w:szCs w:val="21"/>
                <w:lang w:val="en-US" w:eastAsia="zh-CN" w:bidi="ar-SA"/>
              </w:rPr>
              <w:t>“</w:t>
            </w:r>
            <w:r>
              <w:rPr>
                <w:rFonts w:hint="eastAsia" w:ascii="宋体" w:hAnsi="宋体" w:eastAsia="宋体"/>
                <w:szCs w:val="24"/>
              </w:rPr>
              <w:t>倾心关注客户利益；创建一流物流企业。真诚服务提升价值；持续改进追求卓越</w:t>
            </w:r>
            <w:r>
              <w:rPr>
                <w:rFonts w:hint="eastAsia" w:ascii="宋体" w:hAnsi="宋体" w:eastAsia="宋体" w:cs="Times New Roman"/>
                <w:color w:val="000000"/>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rFonts w:hint="eastAsia"/>
                <w:b/>
                <w:color w:val="000000" w:themeColor="text1"/>
                <w:lang w:val="en-US" w:eastAsia="zh-CN"/>
              </w:rPr>
            </w:pPr>
            <w:r>
              <w:rPr>
                <w:b/>
                <w:color w:val="000000" w:themeColor="text1"/>
              </w:rPr>
              <w:t>4、</w:t>
            </w:r>
            <w:r>
              <w:rPr>
                <w:rFonts w:hint="eastAsia"/>
                <w:b/>
                <w:color w:val="000000" w:themeColor="text1"/>
              </w:rPr>
              <w:t>风险识别与控制策划（QMS）</w:t>
            </w:r>
            <w:r>
              <w:rPr>
                <w:rFonts w:hint="eastAsia"/>
                <w:b/>
                <w:color w:val="000000" w:themeColor="text1"/>
                <w:lang w:val="en-US" w:eastAsia="zh-CN"/>
              </w:rPr>
              <w:t xml:space="preserve">  </w:t>
            </w:r>
          </w:p>
          <w:p>
            <w:pPr>
              <w:spacing w:line="240" w:lineRule="exact"/>
              <w:rPr>
                <w:rFonts w:hint="default" w:eastAsia="宋体"/>
                <w:b/>
                <w:color w:val="000000" w:themeColor="text1"/>
                <w:lang w:val="en-US" w:eastAsia="zh-CN"/>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质量管理体系过程有：合同评审、过程监控管理；产品验收管理；监视和测量设备管理</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eastAsia="zh-CN"/>
              </w:rPr>
              <w:t>运输过程</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eastAsia="zh-CN"/>
              </w:rPr>
              <w:t>运输过程</w:t>
            </w:r>
          </w:p>
          <w:p>
            <w:pPr>
              <w:tabs>
                <w:tab w:val="left" w:pos="540"/>
              </w:tabs>
              <w:spacing w:line="300" w:lineRule="exact"/>
              <w:ind w:left="211" w:hanging="201" w:hangingChars="100"/>
              <w:rPr>
                <w:rFonts w:ascii="宋体" w:hAnsi="宋体"/>
                <w:b/>
                <w:color w:val="000000" w:themeColor="text1"/>
                <w:szCs w:val="21"/>
              </w:rPr>
            </w:pPr>
            <w:r>
              <w:rPr>
                <w:rFonts w:ascii="宋体" w:hAnsi="宋体"/>
                <w:b/>
                <w:color w:val="000000" w:themeColor="text1"/>
                <w:sz w:val="20"/>
                <w:szCs w:val="20"/>
              </w:rPr>
              <w:pict>
                <v:shape id="_x0000_s1026" o:spid="_x0000_s1026"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 </w:t>
            </w:r>
            <w:r>
              <w:rPr>
                <w:rFonts w:hint="eastAsia" w:ascii="宋体" w:hAnsi="宋体" w:eastAsia="宋体"/>
                <w:u w:val="single"/>
                <w:lang w:eastAsia="zh-CN"/>
              </w:rPr>
              <w:t>公司普通货物运输依据顾客提供产品</w:t>
            </w:r>
            <w:r>
              <w:rPr>
                <w:rFonts w:ascii="宋体" w:hAnsi="宋体" w:eastAsia="宋体"/>
                <w:u w:val="single"/>
                <w:lang w:eastAsia="zh-CN"/>
              </w:rPr>
              <w:t>,</w:t>
            </w:r>
            <w:r>
              <w:rPr>
                <w:rFonts w:hint="eastAsia" w:ascii="宋体" w:hAnsi="宋体" w:eastAsia="宋体"/>
                <w:u w:val="single"/>
                <w:lang w:eastAsia="zh-CN"/>
              </w:rPr>
              <w:t>按顾客指定地点运输</w:t>
            </w:r>
            <w:r>
              <w:rPr>
                <w:rFonts w:ascii="宋体" w:hAnsi="宋体" w:eastAsia="宋体"/>
                <w:u w:val="single"/>
                <w:lang w:eastAsia="zh-CN"/>
              </w:rPr>
              <w:t>,</w:t>
            </w:r>
            <w:r>
              <w:rPr>
                <w:rFonts w:hint="eastAsia" w:ascii="宋体" w:hAnsi="宋体" w:eastAsia="宋体"/>
                <w:u w:val="single"/>
                <w:lang w:eastAsia="zh-CN"/>
              </w:rPr>
              <w:t>因此标准</w:t>
            </w:r>
            <w:r>
              <w:rPr>
                <w:rFonts w:ascii="宋体" w:hAnsi="宋体" w:eastAsia="宋体"/>
                <w:u w:val="single"/>
                <w:lang w:eastAsia="zh-CN"/>
              </w:rPr>
              <w:t>8.3</w:t>
            </w:r>
            <w:r>
              <w:rPr>
                <w:rFonts w:hint="eastAsia" w:ascii="宋体" w:hAnsi="宋体" w:eastAsia="宋体"/>
                <w:u w:val="single"/>
                <w:lang w:eastAsia="zh-CN"/>
              </w:rPr>
              <w:t>条款“产品和服务的设计和开发”要求不适用。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rPr>
                <w:rFonts w:hint="eastAsia" w:eastAsia="宋体"/>
                <w:b/>
                <w:color w:val="000000" w:themeColor="text1"/>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黑体" w:hAnsi="黑体" w:eastAsia="黑体" w:cs="黑体"/>
                <w:b/>
                <w:color w:val="000000" w:themeColor="text1"/>
                <w:szCs w:val="21"/>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黑体" w:hAnsi="黑体" w:eastAsia="黑体" w:cs="黑体"/>
                <w:b/>
                <w:color w:val="000000" w:themeColor="text1"/>
                <w:szCs w:val="21"/>
              </w:rPr>
              <w:t>■</w:t>
            </w:r>
            <w:r>
              <w:rPr>
                <w:rFonts w:hint="eastAsia" w:ascii="宋体" w:hAnsi="宋体"/>
                <w:b/>
                <w:color w:val="000000" w:themeColor="text1"/>
                <w:szCs w:val="21"/>
              </w:rPr>
              <w:t>产品/服务□环境因素□危险源，</w:t>
            </w:r>
            <w:r>
              <w:rPr>
                <w:rFonts w:hint="eastAsia" w:ascii="黑体" w:hAnsi="黑体" w:eastAsia="黑体" w:cs="黑体"/>
                <w:b/>
                <w:color w:val="000000" w:themeColor="text1"/>
                <w:szCs w:val="21"/>
              </w:rPr>
              <w:t>■</w:t>
            </w:r>
            <w:r>
              <w:rPr>
                <w:rFonts w:hint="eastAsia" w:ascii="宋体" w:hAnsi="宋体"/>
                <w:b/>
                <w:color w:val="000000" w:themeColor="text1"/>
                <w:szCs w:val="21"/>
              </w:rPr>
              <w:t>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lang w:val="en-US" w:eastAsia="zh-CN"/>
              </w:rPr>
              <w:t>9</w:t>
            </w:r>
            <w:r>
              <w:rPr>
                <w:rFonts w:hint="eastAsia"/>
                <w:b/>
                <w:color w:val="000000" w:themeColor="text1"/>
                <w:szCs w:val="21"/>
              </w:rPr>
              <w:t xml:space="preserve">.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highlight w:val="none"/>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rFonts w:ascii="宋体" w:hAnsi="宋体" w:cs="宋体"/>
                <w:szCs w:val="21"/>
                <w:highlight w:val="none"/>
              </w:rPr>
            </w:pPr>
            <w:r>
              <w:rPr>
                <w:rFonts w:hint="eastAsia" w:ascii="宋体" w:hAnsi="宋体" w:cs="宋体"/>
                <w:szCs w:val="21"/>
                <w:highlight w:val="none"/>
              </w:rPr>
              <w:t xml:space="preserve">公司质量目标为：       </w:t>
            </w:r>
            <w:r>
              <w:rPr>
                <w:rFonts w:hint="eastAsia" w:ascii="宋体" w:hAnsi="宋体" w:cs="宋体"/>
                <w:szCs w:val="21"/>
                <w:highlight w:val="none"/>
                <w:lang w:val="en-US" w:eastAsia="zh-CN"/>
              </w:rPr>
              <w:t xml:space="preserve">   </w:t>
            </w:r>
            <w:r>
              <w:rPr>
                <w:rFonts w:hint="eastAsia" w:ascii="宋体" w:hAnsi="宋体" w:cs="宋体"/>
                <w:color w:val="FF0000"/>
                <w:szCs w:val="21"/>
                <w:highlight w:val="none"/>
                <w:lang w:val="en-US" w:eastAsia="zh-CN"/>
              </w:rPr>
              <w:t xml:space="preserve"> </w:t>
            </w:r>
            <w:r>
              <w:rPr>
                <w:rFonts w:hint="eastAsia" w:ascii="宋体" w:hAnsi="宋体" w:cs="宋体"/>
                <w:color w:val="000000" w:themeColor="text1"/>
                <w:szCs w:val="21"/>
                <w:highlight w:val="none"/>
                <w:lang w:eastAsia="zh-CN"/>
              </w:rPr>
              <w:t>考核</w:t>
            </w:r>
            <w:r>
              <w:rPr>
                <w:rFonts w:hint="eastAsia" w:ascii="宋体" w:hAnsi="宋体" w:cs="宋体"/>
                <w:color w:val="000000" w:themeColor="text1"/>
                <w:szCs w:val="21"/>
                <w:highlight w:val="none"/>
              </w:rPr>
              <w:t>情况（20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月-20</w:t>
            </w:r>
            <w:r>
              <w:rPr>
                <w:rFonts w:ascii="宋体" w:hAnsi="宋体" w:cs="宋体"/>
                <w:color w:val="000000" w:themeColor="text1"/>
                <w:szCs w:val="21"/>
                <w:highlight w:val="none"/>
              </w:rPr>
              <w:t>2</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4</w:t>
            </w:r>
            <w:r>
              <w:rPr>
                <w:rFonts w:hint="eastAsia" w:ascii="宋体" w:hAnsi="宋体" w:cs="宋体"/>
                <w:color w:val="000000" w:themeColor="text1"/>
                <w:szCs w:val="21"/>
                <w:highlight w:val="none"/>
              </w:rPr>
              <w:t>月）</w:t>
            </w:r>
          </w:p>
          <w:p>
            <w:pPr>
              <w:spacing w:line="360" w:lineRule="auto"/>
              <w:rPr>
                <w:rFonts w:ascii="宋体" w:hAnsi="宋体" w:cs="宋体"/>
                <w:b/>
                <w:highlight w:val="none"/>
              </w:rPr>
            </w:pPr>
            <w:r>
              <w:rPr>
                <w:rFonts w:hint="eastAsia" w:ascii="宋体" w:hAnsi="宋体" w:cs="宋体"/>
                <w:szCs w:val="21"/>
                <w:highlight w:val="none"/>
              </w:rPr>
              <w:t>1）客户满意度＞90%</w:t>
            </w:r>
            <w:r>
              <w:rPr>
                <w:rFonts w:hint="eastAsia" w:ascii="宋体" w:hAnsi="宋体" w:cs="宋体"/>
                <w:szCs w:val="22"/>
                <w:highlight w:val="none"/>
                <w:lang w:eastAsia="zh-CN"/>
              </w:rPr>
              <w:t>；</w:t>
            </w:r>
            <w:r>
              <w:rPr>
                <w:rFonts w:ascii="宋体" w:hAnsi="宋体" w:cs="宋体"/>
                <w:szCs w:val="21"/>
                <w:highlight w:val="none"/>
              </w:rPr>
              <w:t xml:space="preserve">              </w:t>
            </w:r>
            <w:r>
              <w:rPr>
                <w:rFonts w:hint="eastAsia" w:ascii="宋体" w:hAnsi="宋体" w:cs="宋体"/>
                <w:szCs w:val="21"/>
                <w:highlight w:val="none"/>
                <w:lang w:val="en-US" w:eastAsia="zh-CN"/>
              </w:rPr>
              <w:t xml:space="preserve">       98%</w:t>
            </w:r>
            <w:r>
              <w:rPr>
                <w:rFonts w:ascii="宋体" w:hAnsi="宋体" w:cs="宋体"/>
                <w:b/>
                <w:highlight w:val="none"/>
              </w:rPr>
              <w:t xml:space="preserve">  </w:t>
            </w:r>
          </w:p>
          <w:p>
            <w:pPr>
              <w:spacing w:line="360" w:lineRule="auto"/>
              <w:rPr>
                <w:rFonts w:ascii="宋体" w:hAnsi="宋体" w:cs="宋体"/>
                <w:szCs w:val="21"/>
                <w:highlight w:val="none"/>
              </w:rPr>
            </w:pPr>
            <w:r>
              <w:rPr>
                <w:rFonts w:hint="eastAsia" w:ascii="宋体" w:hAnsi="宋体" w:cs="宋体"/>
                <w:szCs w:val="21"/>
                <w:highlight w:val="none"/>
              </w:rPr>
              <w:t>2）货物送达及时率96%</w:t>
            </w:r>
            <w:r>
              <w:rPr>
                <w:rFonts w:hint="eastAsia" w:ascii="宋体" w:hAnsi="宋体"/>
                <w:szCs w:val="24"/>
                <w:highlight w:val="none"/>
                <w:lang w:eastAsia="zh-CN"/>
              </w:rPr>
              <w:t>；</w:t>
            </w:r>
            <w:r>
              <w:rPr>
                <w:rFonts w:ascii="宋体" w:hAnsi="宋体" w:cs="宋体"/>
                <w:szCs w:val="21"/>
                <w:highlight w:val="none"/>
              </w:rPr>
              <w:t xml:space="preserve">            </w:t>
            </w:r>
            <w:r>
              <w:rPr>
                <w:rFonts w:hint="eastAsia" w:ascii="宋体" w:hAnsi="宋体" w:cs="宋体"/>
                <w:szCs w:val="21"/>
                <w:highlight w:val="none"/>
                <w:lang w:val="en-US" w:eastAsia="zh-CN"/>
              </w:rPr>
              <w:t xml:space="preserve">      100</w:t>
            </w:r>
            <w:r>
              <w:rPr>
                <w:rFonts w:hint="eastAsia" w:ascii="宋体" w:hAnsi="宋体" w:cs="宋体"/>
                <w:szCs w:val="21"/>
                <w:highlight w:val="none"/>
              </w:rPr>
              <w:t>%</w:t>
            </w:r>
          </w:p>
          <w:p>
            <w:pPr>
              <w:spacing w:line="240" w:lineRule="exact"/>
              <w:rPr>
                <w:rFonts w:ascii="宋体" w:hAnsi="宋体"/>
                <w:b/>
                <w:color w:val="000000" w:themeColor="text1"/>
              </w:rPr>
            </w:pPr>
            <w:r>
              <w:rPr>
                <w:rFonts w:hint="eastAsia" w:ascii="宋体" w:hAnsi="宋体" w:cs="宋体"/>
                <w:szCs w:val="21"/>
                <w:highlight w:val="none"/>
              </w:rPr>
              <w:t>3）合同按时间交付率100%</w:t>
            </w:r>
            <w:r>
              <w:rPr>
                <w:rFonts w:hint="eastAsia" w:ascii="宋体" w:hAnsi="宋体" w:eastAsia="宋体"/>
                <w:szCs w:val="24"/>
                <w:highlight w:val="none"/>
              </w:rPr>
              <w:t>。</w:t>
            </w:r>
            <w:r>
              <w:rPr>
                <w:rFonts w:ascii="宋体" w:hAnsi="宋体" w:cs="宋体"/>
                <w:szCs w:val="21"/>
                <w:highlight w:val="none"/>
              </w:rPr>
              <w:t xml:space="preserve">        </w:t>
            </w:r>
            <w:r>
              <w:rPr>
                <w:rFonts w:hint="eastAsia" w:ascii="宋体" w:hAnsi="宋体" w:cs="宋体"/>
                <w:szCs w:val="21"/>
                <w:highlight w:val="none"/>
                <w:lang w:val="en-US" w:eastAsia="zh-CN"/>
              </w:rPr>
              <w:t xml:space="preserve">      </w:t>
            </w:r>
            <w:r>
              <w:rPr>
                <w:rFonts w:ascii="宋体" w:hAnsi="宋体" w:cs="宋体"/>
                <w:szCs w:val="21"/>
                <w:highlight w:val="none"/>
              </w:rPr>
              <w:t xml:space="preserve"> </w:t>
            </w:r>
            <w:r>
              <w:rPr>
                <w:rFonts w:hint="eastAsia" w:ascii="宋体" w:hAnsi="宋体" w:cs="宋体"/>
                <w:szCs w:val="21"/>
                <w:highlight w:val="none"/>
                <w:lang w:val="en-US" w:eastAsia="zh-CN"/>
              </w:rPr>
              <w:t>100</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w:t>
            </w:r>
            <w:r>
              <w:rPr>
                <w:rFonts w:hint="eastAsia" w:ascii="宋体" w:hAnsi="宋体" w:eastAsia="宋体" w:cs="宋体"/>
                <w:color w:val="000000" w:themeColor="text1"/>
              </w:rPr>
              <w:t>于</w:t>
            </w:r>
            <w:r>
              <w:rPr>
                <w:rFonts w:hint="eastAsia" w:ascii="宋体" w:hAnsi="宋体" w:eastAsia="宋体" w:cs="宋体"/>
                <w:color w:val="000000" w:themeColor="text1"/>
                <w:lang w:eastAsia="zh-CN"/>
              </w:rPr>
              <w:t>20</w:t>
            </w:r>
            <w:r>
              <w:rPr>
                <w:rFonts w:hint="eastAsia" w:ascii="宋体" w:hAnsi="宋体" w:eastAsia="宋体" w:cs="宋体"/>
                <w:color w:val="000000" w:themeColor="text1"/>
                <w:lang w:val="en-US" w:eastAsia="zh-CN"/>
              </w:rPr>
              <w:t>18</w:t>
            </w:r>
            <w:r>
              <w:rPr>
                <w:rFonts w:hint="eastAsia" w:ascii="宋体" w:hAnsi="宋体" w:eastAsia="宋体" w:cs="宋体"/>
                <w:color w:val="000000" w:themeColor="text1"/>
                <w:lang w:eastAsia="zh-CN"/>
              </w:rPr>
              <w:t>年1月</w:t>
            </w:r>
            <w:r>
              <w:rPr>
                <w:rFonts w:hint="eastAsia" w:ascii="宋体" w:hAnsi="宋体" w:eastAsia="宋体" w:cs="宋体"/>
                <w:color w:val="000000" w:themeColor="text1"/>
                <w:lang w:val="en-US" w:eastAsia="zh-CN"/>
              </w:rPr>
              <w:t>5</w:t>
            </w:r>
            <w:r>
              <w:rPr>
                <w:rFonts w:hint="eastAsia" w:ascii="宋体" w:hAnsi="宋体" w:eastAsia="宋体" w:cs="宋体"/>
                <w:color w:val="000000" w:themeColor="text1"/>
                <w:lang w:eastAsia="zh-CN"/>
              </w:rPr>
              <w:t>日</w:t>
            </w:r>
            <w:r>
              <w:rPr>
                <w:rFonts w:hint="eastAsia" w:ascii="宋体" w:hAnsi="宋体" w:eastAsia="宋体" w:cs="宋体"/>
                <w:color w:val="000000" w:themeColor="text1"/>
              </w:rPr>
              <w:t>予以发布并有效实施运行，经对文件评审判定：符合标准要求，符合公司的实际且具有可操作性。组织对管理体系文件化信息进行了有效性管理，包括文件的格式、标识、批准、</w:t>
            </w:r>
            <w:r>
              <w:rPr>
                <w:rFonts w:hint="eastAsia" w:ascii="宋体" w:hAnsi="宋体" w:cs="宋体"/>
                <w:color w:val="000000" w:themeColor="text1"/>
              </w:rPr>
              <w:t>修改、发放等环节，组织使用的文件是有效的。组织记录填写基本完整、信息充分、具有可追溯性、记录管理易于查阅。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人力资源管理</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ascii="宋体" w:hAnsi="宋体"/>
                <w:color w:val="000000" w:themeColor="text1"/>
                <w:szCs w:val="21"/>
                <w:highlight w:val="none"/>
              </w:rPr>
              <w:t>办公场所面积</w:t>
            </w:r>
            <w:r>
              <w:rPr>
                <w:rFonts w:hint="eastAsia" w:ascii="宋体" w:hAnsi="宋体"/>
                <w:color w:val="000000" w:themeColor="text1"/>
                <w:szCs w:val="21"/>
                <w:highlight w:val="none"/>
                <w:lang w:val="en-US" w:eastAsia="zh-CN"/>
              </w:rPr>
              <w:t>90</w:t>
            </w:r>
            <w:r>
              <w:rPr>
                <w:rFonts w:hint="eastAsia" w:ascii="宋体" w:hAnsi="宋体"/>
                <w:color w:val="000000" w:themeColor="text1"/>
                <w:szCs w:val="21"/>
                <w:highlight w:val="none"/>
              </w:rPr>
              <w:t>平方左右，</w:t>
            </w:r>
            <w:r>
              <w:rPr>
                <w:rFonts w:hint="eastAsia" w:ascii="宋体" w:hAnsi="宋体"/>
                <w:color w:val="000000" w:themeColor="text1"/>
                <w:szCs w:val="21"/>
                <w:highlight w:val="none"/>
                <w:lang w:val="en-US" w:eastAsia="zh-CN"/>
              </w:rPr>
              <w:t>仓储</w:t>
            </w:r>
            <w:r>
              <w:rPr>
                <w:rFonts w:hint="eastAsia" w:ascii="宋体" w:hAnsi="宋体"/>
                <w:color w:val="000000" w:themeColor="text1"/>
                <w:szCs w:val="21"/>
                <w:highlight w:val="none"/>
              </w:rPr>
              <w:t>面积</w:t>
            </w:r>
            <w:r>
              <w:rPr>
                <w:rFonts w:hint="eastAsia" w:ascii="宋体" w:hAnsi="宋体"/>
                <w:color w:val="000000" w:themeColor="text1"/>
                <w:szCs w:val="21"/>
                <w:highlight w:val="none"/>
                <w:lang w:val="en-US" w:eastAsia="zh-CN"/>
              </w:rPr>
              <w:t>920</w:t>
            </w:r>
            <w:r>
              <w:rPr>
                <w:rFonts w:hint="eastAsia" w:ascii="宋体" w:hAnsi="宋体"/>
                <w:color w:val="000000" w:themeColor="text1"/>
                <w:szCs w:val="21"/>
                <w:highlight w:val="none"/>
              </w:rPr>
              <w:t>平方。</w:t>
            </w:r>
            <w:r>
              <w:rPr>
                <w:rFonts w:hint="eastAsia" w:ascii="宋体" w:hAnsi="宋体" w:cs="宋体"/>
                <w:color w:val="000000" w:themeColor="text1"/>
                <w:szCs w:val="21"/>
                <w:highlight w:val="none"/>
              </w:rPr>
              <w:t>主要生产设备包括</w:t>
            </w:r>
            <w:r>
              <w:rPr>
                <w:rFonts w:hint="eastAsia" w:ascii="宋体" w:hAnsi="宋体"/>
                <w:color w:val="000000" w:themeColor="text1"/>
                <w:szCs w:val="21"/>
                <w:highlight w:val="none"/>
                <w:lang w:eastAsia="zh-CN"/>
              </w:rPr>
              <w:t>电脑及办公设备、</w:t>
            </w:r>
            <w:r>
              <w:rPr>
                <w:rFonts w:hint="eastAsia" w:ascii="宋体" w:hAnsi="宋体" w:cs="宋体"/>
                <w:color w:val="000000" w:themeColor="text1"/>
                <w:kern w:val="0"/>
                <w:szCs w:val="21"/>
                <w:highlight w:val="none"/>
                <w:lang w:eastAsia="zh-CN"/>
              </w:rPr>
              <w:t>重型厢式货车、重型仓储式货车、叉车、手动叉车</w:t>
            </w:r>
            <w:r>
              <w:rPr>
                <w:rFonts w:hint="eastAsia" w:ascii="宋体" w:hAnsi="宋体" w:cs="宋体"/>
                <w:color w:val="000000" w:themeColor="text1"/>
                <w:szCs w:val="21"/>
                <w:highlight w:val="none"/>
              </w:rPr>
              <w:t>等</w:t>
            </w:r>
            <w:r>
              <w:rPr>
                <w:rFonts w:hint="eastAsia" w:ascii="宋体" w:hAnsi="宋体"/>
                <w:color w:val="000000" w:themeColor="text1"/>
                <w:szCs w:val="21"/>
                <w:highlight w:val="none"/>
              </w:rPr>
              <w:t>，可以满足许可范围内的普通货运</w:t>
            </w:r>
            <w:r>
              <w:rPr>
                <w:rFonts w:hint="eastAsia" w:ascii="宋体" w:hAnsi="宋体"/>
                <w:color w:val="000000" w:themeColor="text1"/>
                <w:szCs w:val="21"/>
                <w:highlight w:val="none"/>
                <w:lang w:eastAsia="zh-CN"/>
              </w:rPr>
              <w:t>服务的</w:t>
            </w:r>
            <w:r>
              <w:rPr>
                <w:rFonts w:hint="eastAsia" w:ascii="宋体" w:hAnsi="宋体" w:cs="宋体"/>
                <w:color w:val="000000" w:themeColor="text1"/>
                <w:szCs w:val="21"/>
                <w:highlight w:val="none"/>
              </w:rPr>
              <w:t>需</w:t>
            </w:r>
            <w:r>
              <w:rPr>
                <w:rFonts w:hint="eastAsia" w:ascii="宋体" w:hAnsi="宋体"/>
                <w:color w:val="000000" w:themeColor="text1"/>
                <w:szCs w:val="21"/>
                <w:highlight w:val="none"/>
              </w:rPr>
              <w:t>要</w:t>
            </w:r>
            <w:r>
              <w:rPr>
                <w:rFonts w:hint="eastAsia" w:ascii="宋体" w:hAnsi="宋体" w:cs="宋体"/>
                <w:color w:val="000000" w:themeColor="text1"/>
                <w:szCs w:val="21"/>
                <w:highlight w:val="none"/>
              </w:rPr>
              <w:t>。对</w:t>
            </w:r>
            <w:r>
              <w:rPr>
                <w:rFonts w:hint="eastAsia" w:ascii="宋体" w:hAnsi="宋体" w:cs="宋体"/>
                <w:color w:val="000000" w:themeColor="text1"/>
                <w:szCs w:val="21"/>
                <w:highlight w:val="none"/>
                <w:lang w:eastAsia="zh-CN"/>
              </w:rPr>
              <w:t>汽车定点维护保养、办公</w:t>
            </w:r>
            <w:r>
              <w:rPr>
                <w:rFonts w:hint="eastAsia" w:ascii="宋体" w:hAnsi="宋体" w:cs="宋体"/>
                <w:color w:val="000000" w:themeColor="text1"/>
                <w:szCs w:val="21"/>
                <w:highlight w:val="none"/>
              </w:rPr>
              <w:t>设备按月方式进行维护保养，并实施。特种设备：</w:t>
            </w:r>
            <w:r>
              <w:rPr>
                <w:rFonts w:hint="eastAsia" w:ascii="宋体" w:hAnsi="宋体" w:cs="宋体"/>
                <w:color w:val="000000" w:themeColor="text1"/>
                <w:szCs w:val="21"/>
                <w:highlight w:val="none"/>
                <w:lang w:eastAsia="zh-CN"/>
              </w:rPr>
              <w:t>叉车</w:t>
            </w:r>
            <w:r>
              <w:rPr>
                <w:rFonts w:hint="eastAsia" w:ascii="宋体" w:hAnsi="宋体" w:cs="宋体"/>
                <w:color w:val="000000" w:themeColor="text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w:t>
            </w:r>
            <w:r>
              <w:rPr>
                <w:rFonts w:hint="eastAsia" w:ascii="宋体" w:hAnsi="宋体"/>
                <w:szCs w:val="21"/>
                <w:lang w:eastAsia="zh-CN"/>
              </w:rPr>
              <w:t>室</w:t>
            </w:r>
            <w:r>
              <w:rPr>
                <w:rFonts w:hint="eastAsia" w:ascii="宋体" w:hAnsi="宋体" w:cs="宋体"/>
                <w:szCs w:val="21"/>
              </w:rPr>
              <w:t>设备布置合理，通道畅通，照明设施齐全，均配备了消防设施等设施。办公室明亮。每月由</w:t>
            </w:r>
            <w:r>
              <w:rPr>
                <w:rFonts w:hint="eastAsia" w:ascii="宋体" w:hAnsi="宋体" w:cs="宋体"/>
                <w:szCs w:val="21"/>
                <w:lang w:eastAsia="zh-CN"/>
              </w:rPr>
              <w:t>行政部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lang w:val="en-US" w:eastAsia="zh-CN"/>
              </w:rPr>
            </w:pPr>
            <w:r>
              <w:rPr>
                <w:rFonts w:hint="eastAsia" w:ascii="宋体" w:hAnsi="宋体"/>
                <w:b/>
                <w:color w:val="000000" w:themeColor="text1"/>
                <w:sz w:val="20"/>
                <w:szCs w:val="20"/>
              </w:rPr>
              <w:t>监视和测量资源</w:t>
            </w:r>
            <w:r>
              <w:rPr>
                <w:rFonts w:hint="eastAsia" w:ascii="宋体" w:hAnsi="宋体"/>
                <w:b/>
                <w:color w:val="000000" w:themeColor="text1"/>
                <w:sz w:val="20"/>
                <w:szCs w:val="20"/>
                <w:lang w:val="en-US" w:eastAsia="zh-CN"/>
              </w:rPr>
              <w:t xml:space="preserve"> </w:t>
            </w:r>
          </w:p>
          <w:p>
            <w:pPr>
              <w:spacing w:line="240" w:lineRule="exact"/>
              <w:rPr>
                <w:rFonts w:hint="eastAsia" w:ascii="宋体" w:hAnsi="宋体" w:eastAsia="宋体"/>
                <w:b/>
                <w:color w:val="000000" w:themeColor="text1"/>
                <w:sz w:val="20"/>
                <w:szCs w:val="20"/>
                <w:lang w:val="en-US" w:eastAsia="zh-CN"/>
              </w:rPr>
            </w:pPr>
            <w:r>
              <w:rPr>
                <w:rFonts w:hint="eastAsia" w:ascii="宋体" w:hAnsi="宋体"/>
                <w:szCs w:val="21"/>
                <w:highlight w:val="none"/>
              </w:rPr>
              <w:t>卫星定位系统</w:t>
            </w:r>
            <w:r>
              <w:rPr>
                <w:rFonts w:hint="eastAsia" w:ascii="宋体" w:hAnsi="宋体"/>
                <w:szCs w:val="21"/>
                <w:highlight w:val="none"/>
                <w:lang w:eastAsia="zh-CN"/>
              </w:rPr>
              <w:t>（</w:t>
            </w:r>
            <w:r>
              <w:rPr>
                <w:rFonts w:hint="eastAsia" w:ascii="宋体" w:hAnsi="宋体"/>
                <w:szCs w:val="21"/>
                <w:highlight w:val="none"/>
                <w:lang w:val="en-US" w:eastAsia="zh-CN"/>
              </w:rPr>
              <w:t>GPS）</w:t>
            </w:r>
            <w:r>
              <w:rPr>
                <w:rFonts w:hint="eastAsia" w:ascii="宋体" w:hAnsi="宋体"/>
                <w:szCs w:val="21"/>
                <w:highlight w:val="none"/>
              </w:rPr>
              <w:t>，</w:t>
            </w:r>
            <w:r>
              <w:rPr>
                <w:rFonts w:hint="eastAsia" w:ascii="宋体" w:hAnsi="宋体" w:cs="宋体"/>
                <w:szCs w:val="21"/>
                <w:highlight w:val="none"/>
              </w:rPr>
              <w:t>由行业管理部门指定的第三方公司提供，其维保也由该部门负责。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lang w:val="en-US" w:eastAsia="zh-CN"/>
              </w:rPr>
            </w:pPr>
            <w:r>
              <w:rPr>
                <w:rFonts w:hint="eastAsia"/>
                <w:b/>
                <w:color w:val="000000" w:themeColor="text1"/>
                <w:sz w:val="20"/>
                <w:szCs w:val="20"/>
              </w:rPr>
              <w:t>（包括针对组织宗旨，制定相关管理方针政策、确保方针为员工理解并在运营中实施，监视方针的实施并评审方针的适宜性）</w:t>
            </w:r>
            <w:r>
              <w:rPr>
                <w:rFonts w:hint="eastAsia"/>
                <w:b/>
                <w:color w:val="000000" w:themeColor="text1"/>
                <w:sz w:val="20"/>
                <w:szCs w:val="20"/>
                <w:lang w:val="en-US" w:eastAsia="zh-CN"/>
              </w:rPr>
              <w:t xml:space="preserve">  </w:t>
            </w:r>
          </w:p>
          <w:p>
            <w:pPr>
              <w:spacing w:line="300" w:lineRule="exact"/>
              <w:ind w:left="1"/>
              <w:rPr>
                <w:rFonts w:hint="default" w:eastAsia="宋体"/>
                <w:b/>
                <w:color w:val="000000" w:themeColor="text1"/>
                <w:sz w:val="20"/>
                <w:szCs w:val="20"/>
                <w:lang w:val="en-US" w:eastAsia="zh-CN"/>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hint="eastAsia"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 xml:space="preserve">                内部沟通的效果：</w:t>
            </w:r>
            <w:r>
              <w:rPr>
                <w:rFonts w:hint="eastAsia" w:ascii="楷体_GB2312" w:eastAsia="楷体_GB2312"/>
                <w:b/>
                <w:color w:val="000000" w:themeColor="text1"/>
                <w:sz w:val="20"/>
                <w:szCs w:val="20"/>
                <w:lang w:eastAsia="zh-CN"/>
              </w:rPr>
              <w:t>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r>
              <w:rPr>
                <w:rFonts w:hint="eastAsia" w:ascii="宋体" w:hAnsi="宋体" w:cs="宋体"/>
                <w:color w:val="000000"/>
                <w:szCs w:val="21"/>
              </w:rPr>
              <w:t>制定并实施了</w:t>
            </w:r>
            <w:r>
              <w:rPr>
                <w:rFonts w:hint="eastAsia" w:ascii="宋体" w:hAnsi="宋体" w:cs="宋体"/>
                <w:color w:val="000000"/>
                <w:szCs w:val="21"/>
                <w:lang w:eastAsia="zh-CN"/>
              </w:rPr>
              <w:t>服务、产品</w:t>
            </w:r>
            <w:r>
              <w:rPr>
                <w:rFonts w:hint="eastAsia" w:ascii="宋体" w:hAnsi="宋体" w:cs="宋体"/>
                <w:color w:val="000000"/>
                <w:szCs w:val="21"/>
              </w:rPr>
              <w:t>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lang w:val="en-US" w:eastAsia="zh-CN"/>
              </w:rPr>
            </w:pPr>
            <w:r>
              <w:rPr>
                <w:rFonts w:hint="eastAsia"/>
                <w:b/>
                <w:color w:val="000000" w:themeColor="text1"/>
                <w:sz w:val="20"/>
                <w:szCs w:val="20"/>
              </w:rPr>
              <w:t>8. OHSMS组织对不可接受风险实施控制的结果</w:t>
            </w:r>
            <w:r>
              <w:rPr>
                <w:rFonts w:hint="eastAsia"/>
                <w:b/>
                <w:color w:val="000000" w:themeColor="text1"/>
                <w:sz w:val="20"/>
                <w:szCs w:val="20"/>
                <w:lang w:val="en-US" w:eastAsia="zh-CN"/>
              </w:rPr>
              <w:t xml:space="preserve">   </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hint="eastAsia" w:eastAsia="宋体"/>
                <w:b/>
                <w:color w:val="000000" w:themeColor="text1"/>
                <w:spacing w:val="-4"/>
                <w:sz w:val="20"/>
                <w:szCs w:val="20"/>
                <w:lang w:val="en-US" w:eastAsia="zh-CN"/>
              </w:rPr>
            </w:pPr>
            <w:r>
              <w:rPr>
                <w:rFonts w:hint="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r>
              <w:rPr>
                <w:rFonts w:hint="eastAsia"/>
                <w:b/>
                <w:color w:val="000000" w:themeColor="text1"/>
                <w:sz w:val="20"/>
                <w:szCs w:val="20"/>
                <w:lang w:eastAsia="zh-CN"/>
              </w:rPr>
              <w:t>叉车，未提供年检报告，需改善。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rFonts w:hint="eastAsia" w:eastAsia="宋体"/>
                <w:b/>
                <w:color w:val="000000" w:themeColor="text1"/>
                <w:sz w:val="20"/>
                <w:szCs w:val="20"/>
                <w:lang w:val="en-US" w:eastAsia="zh-CN"/>
              </w:rPr>
            </w:pPr>
            <w:r>
              <w:rPr>
                <w:rFonts w:hint="eastAsia"/>
                <w:b w:val="0"/>
                <w:bCs/>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8"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rPr>
                <w:b/>
                <w:color w:val="000000" w:themeColor="text1"/>
                <w:sz w:val="20"/>
                <w:szCs w:val="20"/>
              </w:rPr>
            </w:pPr>
            <w:r>
              <w:rPr>
                <w:rFonts w:hint="eastAsia" w:ascii="宋体" w:hAnsi="宋体" w:cs="宋体"/>
                <w:color w:val="00000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1月</w:t>
            </w:r>
            <w:r>
              <w:rPr>
                <w:rFonts w:hint="eastAsia" w:ascii="宋体" w:hAnsi="宋体" w:cs="宋体"/>
                <w:szCs w:val="21"/>
                <w:highlight w:val="none"/>
              </w:rPr>
              <w:t>-</w:t>
            </w:r>
            <w:r>
              <w:rPr>
                <w:rFonts w:hint="eastAsia" w:ascii="宋体" w:hAnsi="宋体" w:cs="宋体"/>
                <w:szCs w:val="21"/>
                <w:highlight w:val="none"/>
                <w:lang w:val="en-US" w:eastAsia="zh-CN"/>
              </w:rPr>
              <w:t>2021年4</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lang w:val="en-US" w:eastAsia="zh-CN"/>
              </w:rPr>
            </w:pPr>
            <w:r>
              <w:rPr>
                <w:rFonts w:hint="eastAsia"/>
                <w:b/>
                <w:color w:val="000000" w:themeColor="text1"/>
                <w:sz w:val="20"/>
                <w:szCs w:val="20"/>
              </w:rPr>
              <w:t>2.顾客满意</w:t>
            </w:r>
            <w:r>
              <w:rPr>
                <w:rFonts w:hint="eastAsia"/>
                <w:b/>
                <w:color w:val="000000" w:themeColor="text1"/>
                <w:sz w:val="20"/>
                <w:szCs w:val="20"/>
                <w:lang w:val="en-US" w:eastAsia="zh-CN"/>
              </w:rPr>
              <w:t xml:space="preserve">  </w:t>
            </w:r>
          </w:p>
          <w:p>
            <w:pPr>
              <w:spacing w:line="240" w:lineRule="exact"/>
              <w:ind w:left="100" w:hanging="105" w:hangingChars="50"/>
              <w:rPr>
                <w:rFonts w:hint="default" w:eastAsia="宋体"/>
                <w:b/>
                <w:color w:val="000000" w:themeColor="text1"/>
                <w:sz w:val="20"/>
                <w:szCs w:val="20"/>
                <w:lang w:val="en-US" w:eastAsia="zh-CN"/>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w:t>
            </w:r>
            <w:r>
              <w:rPr>
                <w:rFonts w:hint="eastAsia" w:ascii="宋体" w:hAnsi="宋体" w:cs="宋体"/>
                <w:color w:val="000000" w:themeColor="text1"/>
                <w:szCs w:val="21"/>
                <w:highlight w:val="none"/>
              </w:rPr>
              <w:t>利用上不够，需要改善。近年来未发生重大顾客投诉和产品质量事故。顾客满意度调查按规定实施，20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11</w:t>
            </w:r>
            <w:r>
              <w:rPr>
                <w:rFonts w:hint="eastAsia" w:ascii="宋体" w:hAnsi="宋体" w:cs="宋体"/>
                <w:color w:val="000000" w:themeColor="text1"/>
                <w:szCs w:val="21"/>
                <w:highlight w:val="none"/>
              </w:rPr>
              <w:t>月实施，满意度评价</w:t>
            </w:r>
            <w:r>
              <w:rPr>
                <w:rFonts w:hint="eastAsia" w:ascii="宋体" w:hAnsi="宋体" w:cs="宋体"/>
                <w:color w:val="000000" w:themeColor="text1"/>
                <w:szCs w:val="21"/>
                <w:highlight w:val="none"/>
                <w:lang w:val="en-US" w:eastAsia="zh-CN"/>
              </w:rPr>
              <w:t>98%</w:t>
            </w:r>
            <w:r>
              <w:rPr>
                <w:rFonts w:hint="eastAsia" w:ascii="宋体" w:hAnsi="宋体" w:cs="宋体"/>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z w:val="20"/>
                <w:szCs w:val="20"/>
              </w:rPr>
            </w:pPr>
            <w:r>
              <w:rPr>
                <w:rFonts w:hint="eastAsia" w:ascii="宋体" w:hAnsi="宋体"/>
                <w:szCs w:val="21"/>
              </w:rPr>
              <w:t>建立有《内部审核控制程序》，规定了内审频次一年一次，内审时间：</w:t>
            </w:r>
            <w:r>
              <w:rPr>
                <w:rFonts w:hint="eastAsia" w:ascii="宋体" w:hAnsi="宋体" w:eastAsia="宋体" w:cs="Times New Roman"/>
                <w:szCs w:val="21"/>
              </w:rPr>
              <w:t>2020</w:t>
            </w:r>
            <w:r>
              <w:rPr>
                <w:rFonts w:hint="eastAsia" w:ascii="宋体" w:hAnsi="宋体" w:cs="Times New Roman"/>
                <w:szCs w:val="21"/>
                <w:lang w:eastAsia="zh-CN"/>
              </w:rPr>
              <w:t>年</w:t>
            </w:r>
            <w:r>
              <w:rPr>
                <w:rFonts w:hint="eastAsia" w:ascii="宋体" w:hAnsi="宋体" w:eastAsia="宋体" w:cs="Times New Roman"/>
                <w:szCs w:val="21"/>
                <w:lang w:val="en-US" w:eastAsia="zh-CN"/>
              </w:rPr>
              <w:t>12</w:t>
            </w:r>
            <w:r>
              <w:rPr>
                <w:rFonts w:hint="eastAsia" w:ascii="宋体" w:hAnsi="宋体" w:cs="Times New Roman"/>
                <w:szCs w:val="21"/>
                <w:lang w:eastAsia="zh-CN"/>
              </w:rPr>
              <w:t>月</w:t>
            </w:r>
            <w:r>
              <w:rPr>
                <w:rFonts w:hint="eastAsia" w:ascii="宋体" w:hAnsi="宋体" w:eastAsia="宋体" w:cs="Times New Roman"/>
                <w:szCs w:val="21"/>
                <w:lang w:val="en-US" w:eastAsia="zh-CN"/>
              </w:rPr>
              <w:t>6</w:t>
            </w:r>
            <w:r>
              <w:rPr>
                <w:rFonts w:hint="eastAsia" w:ascii="宋体" w:hAnsi="宋体" w:cs="Times New Roman"/>
                <w:szCs w:val="21"/>
                <w:lang w:eastAsia="zh-CN"/>
              </w:rPr>
              <w:t>日</w:t>
            </w:r>
            <w:r>
              <w:rPr>
                <w:rFonts w:hint="eastAsia" w:ascii="宋体" w:hAnsi="宋体"/>
                <w:szCs w:val="21"/>
              </w:rPr>
              <w:t>，拟定了审核实施表，明确了内审范围，内审人员经培训合格上岗，能力满足要求，未出现审核本部门情况，内审不符合项</w:t>
            </w:r>
            <w:r>
              <w:rPr>
                <w:rFonts w:hint="eastAsia" w:ascii="宋体" w:hAnsi="宋体"/>
                <w:szCs w:val="21"/>
                <w:lang w:val="en-US" w:eastAsia="zh-CN"/>
              </w:rPr>
              <w:t>1</w:t>
            </w:r>
            <w:r>
              <w:rPr>
                <w:rFonts w:hint="eastAsia" w:ascii="宋体" w:hAnsi="宋体"/>
                <w:szCs w:val="21"/>
              </w:rPr>
              <w:t>项，</w:t>
            </w:r>
            <w:r>
              <w:rPr>
                <w:rFonts w:hint="eastAsia" w:ascii="宋体" w:hAnsi="宋体" w:cs="宋体"/>
                <w:color w:val="000000"/>
                <w:szCs w:val="24"/>
              </w:rPr>
              <w:t>涉及</w:t>
            </w:r>
            <w:r>
              <w:rPr>
                <w:rFonts w:hint="eastAsia" w:ascii="宋体" w:hAnsi="宋体" w:cs="宋体"/>
                <w:color w:val="000000"/>
                <w:szCs w:val="24"/>
                <w:lang w:eastAsia="zh-CN"/>
              </w:rPr>
              <w:t>运营部</w:t>
            </w:r>
            <w:r>
              <w:rPr>
                <w:rFonts w:hint="eastAsia" w:ascii="宋体" w:hAnsi="宋体" w:cs="宋体"/>
                <w:color w:val="000000"/>
                <w:szCs w:val="24"/>
              </w:rPr>
              <w:t>7.</w:t>
            </w:r>
            <w:r>
              <w:rPr>
                <w:rFonts w:hint="eastAsia" w:ascii="宋体" w:hAnsi="宋体" w:cs="宋体"/>
                <w:color w:val="000000"/>
                <w:szCs w:val="24"/>
                <w:lang w:val="en-US" w:eastAsia="zh-CN"/>
              </w:rPr>
              <w:t>1.3</w:t>
            </w:r>
            <w:r>
              <w:rPr>
                <w:rFonts w:hint="eastAsia" w:ascii="宋体" w:hAnsi="宋体" w:cs="宋体"/>
                <w:color w:val="000000"/>
                <w:szCs w:val="24"/>
              </w:rPr>
              <w:t>条款，不符合事实描述“未见8月份设备维护保养记录”</w:t>
            </w:r>
            <w:r>
              <w:rPr>
                <w:rFonts w:hint="eastAsia" w:ascii="宋体" w:hAnsi="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29</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lang w:val="en-US"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 xml:space="preserve"> </w:t>
            </w:r>
          </w:p>
          <w:p>
            <w:pPr>
              <w:widowControl/>
              <w:spacing w:line="240" w:lineRule="exact"/>
              <w:rPr>
                <w:rFonts w:hint="eastAsia" w:eastAsia="宋体"/>
                <w:b/>
                <w:color w:val="000000" w:themeColor="text1"/>
                <w:sz w:val="20"/>
                <w:szCs w:val="20"/>
                <w:lang w:val="en-US" w:eastAsia="zh-CN"/>
              </w:rPr>
            </w:pPr>
            <w:r>
              <w:rPr>
                <w:rFonts w:hint="eastAsia"/>
                <w:b w:val="0"/>
                <w:bCs/>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jc w:val="left"/>
              <w:rPr>
                <w:b/>
                <w:color w:val="000000" w:themeColor="text1"/>
                <w:sz w:val="20"/>
                <w:szCs w:val="20"/>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ascii="宋体" w:hAnsi="宋体" w:eastAsia="宋体" w:cs="宋体"/>
                <w:color w:val="000000" w:themeColor="text1"/>
                <w:lang w:eastAsia="zh-CN"/>
              </w:rPr>
              <w:t>二阶段审核时开具的不符合项已关闭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lang w:val="en-US" w:eastAsia="zh-CN"/>
              </w:rPr>
            </w:pPr>
            <w:r>
              <w:rPr>
                <w:rFonts w:hint="eastAsia"/>
                <w:b/>
                <w:color w:val="000000" w:themeColor="text1"/>
                <w:sz w:val="20"/>
                <w:szCs w:val="20"/>
              </w:rPr>
              <w:t>4.创新情况</w:t>
            </w:r>
            <w:r>
              <w:rPr>
                <w:rFonts w:hint="eastAsia"/>
                <w:b/>
                <w:color w:val="000000" w:themeColor="text1"/>
                <w:sz w:val="20"/>
                <w:szCs w:val="20"/>
                <w:lang w:val="en-US" w:eastAsia="zh-CN"/>
              </w:rPr>
              <w:t xml:space="preserve"> </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无</w:t>
            </w:r>
            <w:r>
              <w:rPr>
                <w:rFonts w:hint="eastAsia"/>
                <w:b/>
                <w:color w:val="000000" w:themeColor="text1"/>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lang w:val="en-US" w:eastAsia="zh-CN"/>
              </w:rPr>
            </w:pPr>
            <w:r>
              <w:rPr>
                <w:rFonts w:hint="eastAsia"/>
                <w:b/>
                <w:color w:val="000000" w:themeColor="text1"/>
                <w:szCs w:val="21"/>
              </w:rPr>
              <w:t>5. 上次不符合的整改情况（再认证填写）</w:t>
            </w:r>
            <w:r>
              <w:rPr>
                <w:rFonts w:hint="eastAsia"/>
                <w:b/>
                <w:color w:val="000000" w:themeColor="text1"/>
                <w:szCs w:val="21"/>
                <w:lang w:val="en-US" w:eastAsia="zh-CN"/>
              </w:rPr>
              <w:t xml:space="preserve"> </w:t>
            </w:r>
          </w:p>
          <w:p>
            <w:pPr>
              <w:spacing w:line="240" w:lineRule="exact"/>
              <w:rPr>
                <w:rFonts w:hint="default" w:eastAsia="宋体"/>
                <w:b/>
                <w:color w:val="000000" w:themeColor="text1"/>
                <w:szCs w:val="21"/>
                <w:lang w:val="en-US" w:eastAsia="zh-CN"/>
              </w:rPr>
            </w:pPr>
            <w:r>
              <w:rPr>
                <w:rFonts w:hint="eastAsia"/>
                <w:b/>
                <w:color w:val="000000" w:themeColor="text1"/>
                <w:szCs w:val="21"/>
                <w:lang w:val="en-US" w:eastAsia="zh-CN"/>
              </w:rPr>
              <w:t xml:space="preserve"> </w:t>
            </w: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lang w:val="en-US" w:eastAsia="zh-CN"/>
        </w:rPr>
        <w:t>不符合项</w:t>
      </w:r>
      <w:r>
        <w:rPr>
          <w:rFonts w:hint="eastAsia"/>
          <w:b/>
          <w:color w:val="000000" w:themeColor="text1"/>
        </w:rPr>
        <w:t>分布在</w:t>
      </w:r>
      <w:r>
        <w:rPr>
          <w:rFonts w:hint="eastAsia"/>
          <w:b/>
          <w:color w:val="000000" w:themeColor="text1"/>
          <w:lang w:val="en-US" w:eastAsia="zh-CN"/>
        </w:rPr>
        <w:t>运营</w:t>
      </w:r>
      <w:r>
        <w:rPr>
          <w:rFonts w:hint="eastAsia"/>
          <w:b/>
          <w:color w:val="000000" w:themeColor="text1"/>
        </w:rPr>
        <w:t>部门</w:t>
      </w:r>
      <w:r>
        <w:rPr>
          <w:rFonts w:hint="eastAsia"/>
          <w:b/>
          <w:color w:val="000000" w:themeColor="text1"/>
          <w:lang w:val="en-US" w:eastAsia="zh-CN"/>
        </w:rPr>
        <w:t>Q7.1.3</w:t>
      </w:r>
      <w:r>
        <w:rPr>
          <w:rFonts w:hint="eastAsia"/>
          <w:b/>
          <w:color w:val="000000" w:themeColor="text1"/>
        </w:rPr>
        <w:t>条款</w:t>
      </w:r>
      <w:bookmarkStart w:id="23" w:name="_GoBack"/>
      <w:bookmarkEnd w:id="23"/>
      <w:r>
        <w:rPr>
          <w:rFonts w:hint="eastAsia"/>
          <w:b/>
          <w:color w:val="000000" w:themeColor="text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黑体" w:hAnsi="黑体" w:eastAsia="黑体" w:cs="黑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eastAsia="zh-CN"/>
        </w:rPr>
      </w:pPr>
      <w:r>
        <w:rPr>
          <w:rFonts w:hint="eastAsia" w:ascii="黑体" w:hAnsi="黑体" w:eastAsia="黑体" w:cs="黑体"/>
          <w:b/>
          <w:color w:val="000000" w:themeColor="text1"/>
          <w:spacing w:val="-10"/>
          <w:szCs w:val="21"/>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黑体" w:hAnsi="黑体" w:eastAsia="黑体" w:cs="黑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ascii="黑体" w:hAnsi="黑体" w:eastAsia="黑体" w:cs="黑体"/>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黑体" w:hAnsi="黑体" w:eastAsia="黑体" w:cs="黑体"/>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b/>
                <w:color w:val="000000" w:themeColor="text1"/>
                <w:spacing w:val="-10"/>
                <w:sz w:val="22"/>
                <w:szCs w:val="22"/>
              </w:rPr>
            </w:pPr>
            <w:r>
              <w:rPr>
                <w:rFonts w:ascii="宋体" w:hAnsi="宋体"/>
                <w:b/>
                <w:color w:val="000000" w:themeColor="text1"/>
              </w:rPr>
              <w:t>QMS:</w:t>
            </w:r>
            <w:r>
              <w:rPr>
                <w:sz w:val="20"/>
              </w:rPr>
              <w:t>道路普通货运（限许可范围内）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黑体" w:hAnsi="黑体" w:eastAsia="黑体" w:cs="黑体"/>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黑体" w:hAnsi="黑体" w:eastAsia="黑体" w:cs="黑体"/>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30" w:leftChars="-405" w:hanging="720" w:hangingChars="326"/>
        <w:rPr>
          <w:b/>
          <w:color w:val="000000" w:themeColor="text1"/>
          <w:sz w:val="16"/>
          <w:szCs w:val="16"/>
        </w:rPr>
      </w:pPr>
      <w:r>
        <w:rPr>
          <w:rFonts w:hint="eastAsia"/>
          <w:b/>
          <w:color w:val="auto"/>
          <w:sz w:val="22"/>
          <w:szCs w:val="22"/>
          <w:highlight w:val="none"/>
        </w:rPr>
        <w:drawing>
          <wp:anchor distT="0" distB="0" distL="114300" distR="114300" simplePos="0" relativeHeight="251661312" behindDoc="0" locked="0" layoutInCell="1" allowOverlap="1">
            <wp:simplePos x="0" y="0"/>
            <wp:positionH relativeFrom="column">
              <wp:posOffset>1564005</wp:posOffset>
            </wp:positionH>
            <wp:positionV relativeFrom="paragraph">
              <wp:posOffset>252095</wp:posOffset>
            </wp:positionV>
            <wp:extent cx="734695" cy="459740"/>
            <wp:effectExtent l="0" t="0" r="8255" b="16510"/>
            <wp:wrapNone/>
            <wp:docPr id="4"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C:\Users\Administrator\Desktop\新文档 2020-01-09 10.59.53_副本.jpg"/>
                    <pic:cNvPicPr>
                      <a:picLocks noChangeAspect="1"/>
                    </pic:cNvPicPr>
                  </pic:nvPicPr>
                  <pic:blipFill>
                    <a:blip r:embed="rId6"/>
                    <a:stretch>
                      <a:fillRect/>
                    </a:stretch>
                  </pic:blipFill>
                  <pic:spPr>
                    <a:xfrm>
                      <a:off x="0" y="0"/>
                      <a:ext cx="734695" cy="45974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50" w:firstLineChars="250"/>
        <w:rPr>
          <w:b/>
          <w:color w:val="000000" w:themeColor="text1"/>
        </w:rPr>
      </w:pPr>
      <w:r>
        <w:rPr>
          <w:sz w:val="22"/>
          <w:szCs w:val="22"/>
        </w:rPr>
        <w:drawing>
          <wp:anchor distT="0" distB="0" distL="114300" distR="114300" simplePos="0" relativeHeight="251662336" behindDoc="0" locked="0" layoutInCell="1" allowOverlap="1">
            <wp:simplePos x="0" y="0"/>
            <wp:positionH relativeFrom="column">
              <wp:posOffset>1565910</wp:posOffset>
            </wp:positionH>
            <wp:positionV relativeFrom="paragraph">
              <wp:posOffset>202565</wp:posOffset>
            </wp:positionV>
            <wp:extent cx="412115" cy="269875"/>
            <wp:effectExtent l="0" t="0" r="6985" b="1587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7"/>
                    <a:stretch>
                      <a:fillRect/>
                    </a:stretch>
                  </pic:blipFill>
                  <pic:spPr>
                    <a:xfrm>
                      <a:off x="0" y="0"/>
                      <a:ext cx="412115" cy="269875"/>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5</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13</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ascii="黑体" w:hAnsi="黑体" w:eastAsia="黑体" w:cs="黑体"/>
          <w:b/>
          <w:color w:val="000000" w:themeColor="text1"/>
          <w:spacing w:val="-10"/>
          <w:szCs w:val="21"/>
        </w:rPr>
        <w:t>■</w:t>
      </w:r>
      <w:r>
        <w:rPr>
          <w:rFonts w:hint="eastAsia"/>
          <w:b/>
          <w:color w:val="000000" w:themeColor="text1"/>
          <w:szCs w:val="21"/>
        </w:rPr>
        <w:t>QMS(</w:t>
      </w:r>
      <w:r>
        <w:rPr>
          <w:rFonts w:hint="eastAsia"/>
          <w:b/>
          <w:color w:val="000000" w:themeColor="text1"/>
          <w:szCs w:val="21"/>
          <w:lang w:val="en-US" w:eastAsia="zh-CN"/>
        </w:rPr>
        <w:t>1</w:t>
      </w:r>
      <w:r>
        <w:rPr>
          <w:rFonts w:hint="eastAsia"/>
          <w:b/>
          <w:color w:val="000000" w:themeColor="text1"/>
          <w:szCs w:val="21"/>
        </w:rPr>
        <w:t>)个一般不符合，(</w:t>
      </w:r>
      <w:r>
        <w:rPr>
          <w:rFonts w:hint="eastAsia"/>
          <w:b/>
          <w:color w:val="000000" w:themeColor="text1"/>
          <w:szCs w:val="21"/>
          <w:lang w:val="en-US" w:eastAsia="zh-CN"/>
        </w:rPr>
        <w:t>0</w:t>
      </w:r>
      <w:r>
        <w:rPr>
          <w:rFonts w:hint="eastAsia"/>
          <w:b/>
          <w:color w:val="000000" w:themeColor="text1"/>
          <w:szCs w:val="21"/>
        </w:rPr>
        <w:t>)个严重不符合，</w:t>
      </w:r>
      <w:r>
        <w:rPr>
          <w:rFonts w:hint="eastAsia" w:ascii="黑体" w:hAnsi="黑体" w:eastAsia="黑体" w:cs="黑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黑体" w:hAnsi="黑体" w:eastAsia="黑体" w:cs="黑体"/>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auto"/>
          <w:sz w:val="22"/>
          <w:szCs w:val="22"/>
          <w:highlight w:val="none"/>
        </w:rPr>
        <w:drawing>
          <wp:anchor distT="0" distB="0" distL="114300" distR="114300" simplePos="0" relativeHeight="251663360" behindDoc="0" locked="0" layoutInCell="1" allowOverlap="1">
            <wp:simplePos x="0" y="0"/>
            <wp:positionH relativeFrom="column">
              <wp:posOffset>694055</wp:posOffset>
            </wp:positionH>
            <wp:positionV relativeFrom="paragraph">
              <wp:posOffset>70485</wp:posOffset>
            </wp:positionV>
            <wp:extent cx="734695" cy="459740"/>
            <wp:effectExtent l="0" t="0" r="8255" b="16510"/>
            <wp:wrapNone/>
            <wp:docPr id="3"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Administrator\Desktop\新文档 2020-01-09 10.59.53_副本.jpg"/>
                    <pic:cNvPicPr>
                      <a:picLocks noChangeAspect="1"/>
                    </pic:cNvPicPr>
                  </pic:nvPicPr>
                  <pic:blipFill>
                    <a:blip r:embed="rId6"/>
                    <a:stretch>
                      <a:fillRect/>
                    </a:stretch>
                  </pic:blipFill>
                  <pic:spPr>
                    <a:xfrm>
                      <a:off x="0" y="0"/>
                      <a:ext cx="734695" cy="459740"/>
                    </a:xfrm>
                    <a:prstGeom prst="rect">
                      <a:avLst/>
                    </a:prstGeom>
                    <a:noFill/>
                    <a:ln>
                      <a:noFill/>
                    </a:ln>
                  </pic:spPr>
                </pic:pic>
              </a:graphicData>
            </a:graphic>
          </wp:anchor>
        </w:drawing>
      </w:r>
      <w:r>
        <w:rPr>
          <w:rFonts w:hint="eastAsia"/>
          <w:b/>
          <w:color w:val="000000" w:themeColor="text1"/>
          <w:szCs w:val="21"/>
        </w:rPr>
        <w:t xml:space="preserve">组长签字:                             </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2"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2"/>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B27A2A"/>
    <w:rsid w:val="02014F4B"/>
    <w:rsid w:val="02F30553"/>
    <w:rsid w:val="038B06F3"/>
    <w:rsid w:val="044A5080"/>
    <w:rsid w:val="044B23F2"/>
    <w:rsid w:val="045E66DC"/>
    <w:rsid w:val="04F20F87"/>
    <w:rsid w:val="064D505D"/>
    <w:rsid w:val="07375A05"/>
    <w:rsid w:val="0CBD0439"/>
    <w:rsid w:val="0E112A3A"/>
    <w:rsid w:val="0E7E583E"/>
    <w:rsid w:val="0FF55952"/>
    <w:rsid w:val="109F32F7"/>
    <w:rsid w:val="11401E6E"/>
    <w:rsid w:val="11D55904"/>
    <w:rsid w:val="121647C1"/>
    <w:rsid w:val="14F2208E"/>
    <w:rsid w:val="152D3480"/>
    <w:rsid w:val="15F1309E"/>
    <w:rsid w:val="170E66D9"/>
    <w:rsid w:val="18406629"/>
    <w:rsid w:val="19300A18"/>
    <w:rsid w:val="1EDD7DE4"/>
    <w:rsid w:val="202E51F5"/>
    <w:rsid w:val="213252CB"/>
    <w:rsid w:val="24A64583"/>
    <w:rsid w:val="255E7C92"/>
    <w:rsid w:val="25A73698"/>
    <w:rsid w:val="268A5013"/>
    <w:rsid w:val="273936FA"/>
    <w:rsid w:val="27B20E05"/>
    <w:rsid w:val="285A50D5"/>
    <w:rsid w:val="2CDC112E"/>
    <w:rsid w:val="2CDD4376"/>
    <w:rsid w:val="2CFE6BE7"/>
    <w:rsid w:val="2FF076A2"/>
    <w:rsid w:val="30CB587C"/>
    <w:rsid w:val="317C602D"/>
    <w:rsid w:val="32FE3D23"/>
    <w:rsid w:val="33B27E4F"/>
    <w:rsid w:val="33FA6529"/>
    <w:rsid w:val="340A547B"/>
    <w:rsid w:val="3469770B"/>
    <w:rsid w:val="348F5BC7"/>
    <w:rsid w:val="34A220C7"/>
    <w:rsid w:val="352C5F1F"/>
    <w:rsid w:val="354377BD"/>
    <w:rsid w:val="35B22EA0"/>
    <w:rsid w:val="36C92D6F"/>
    <w:rsid w:val="370076DE"/>
    <w:rsid w:val="387F3717"/>
    <w:rsid w:val="38871660"/>
    <w:rsid w:val="39330143"/>
    <w:rsid w:val="39974616"/>
    <w:rsid w:val="3A2B22D6"/>
    <w:rsid w:val="3BAB364F"/>
    <w:rsid w:val="3D556EE2"/>
    <w:rsid w:val="3D8225A3"/>
    <w:rsid w:val="3D9A11AA"/>
    <w:rsid w:val="3E5240B5"/>
    <w:rsid w:val="3EE407AF"/>
    <w:rsid w:val="3F0F47BE"/>
    <w:rsid w:val="404B1197"/>
    <w:rsid w:val="407855B6"/>
    <w:rsid w:val="41F43A88"/>
    <w:rsid w:val="42024F1F"/>
    <w:rsid w:val="422010AE"/>
    <w:rsid w:val="42FE64EA"/>
    <w:rsid w:val="45313420"/>
    <w:rsid w:val="463F3805"/>
    <w:rsid w:val="465970BE"/>
    <w:rsid w:val="46BF77E4"/>
    <w:rsid w:val="47E06FDB"/>
    <w:rsid w:val="48916825"/>
    <w:rsid w:val="49C5037F"/>
    <w:rsid w:val="4AF600A5"/>
    <w:rsid w:val="4D30123F"/>
    <w:rsid w:val="4F6C0334"/>
    <w:rsid w:val="4FEA3587"/>
    <w:rsid w:val="535C0BAD"/>
    <w:rsid w:val="54553B53"/>
    <w:rsid w:val="54B73082"/>
    <w:rsid w:val="552E7CFD"/>
    <w:rsid w:val="562D7DBB"/>
    <w:rsid w:val="5A35172B"/>
    <w:rsid w:val="5AE04B52"/>
    <w:rsid w:val="5B4C61F3"/>
    <w:rsid w:val="5BFB2A8B"/>
    <w:rsid w:val="5C173010"/>
    <w:rsid w:val="5E902716"/>
    <w:rsid w:val="5E955F80"/>
    <w:rsid w:val="5FA27375"/>
    <w:rsid w:val="600B59C1"/>
    <w:rsid w:val="600F28A4"/>
    <w:rsid w:val="601543EA"/>
    <w:rsid w:val="615660C4"/>
    <w:rsid w:val="618E6DEA"/>
    <w:rsid w:val="63A92622"/>
    <w:rsid w:val="65026848"/>
    <w:rsid w:val="651C29E5"/>
    <w:rsid w:val="669157F0"/>
    <w:rsid w:val="679C50AF"/>
    <w:rsid w:val="687D3C14"/>
    <w:rsid w:val="69033762"/>
    <w:rsid w:val="69896537"/>
    <w:rsid w:val="69AC2CAF"/>
    <w:rsid w:val="69C07411"/>
    <w:rsid w:val="6BDC656B"/>
    <w:rsid w:val="6C514C21"/>
    <w:rsid w:val="6DDD354A"/>
    <w:rsid w:val="6F3B0F97"/>
    <w:rsid w:val="70A72A42"/>
    <w:rsid w:val="70D16631"/>
    <w:rsid w:val="71D72B01"/>
    <w:rsid w:val="73D74857"/>
    <w:rsid w:val="74BC6EEC"/>
    <w:rsid w:val="74E76BEB"/>
    <w:rsid w:val="75E940F6"/>
    <w:rsid w:val="76193145"/>
    <w:rsid w:val="76F71E55"/>
    <w:rsid w:val="774D4D95"/>
    <w:rsid w:val="79EC543B"/>
    <w:rsid w:val="7CB62D93"/>
    <w:rsid w:val="7D0F702E"/>
    <w:rsid w:val="7DBD5BD3"/>
    <w:rsid w:val="7DED426A"/>
    <w:rsid w:val="7F033EEA"/>
    <w:rsid w:val="7F20018C"/>
    <w:rsid w:val="7F657D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TotalTime>
  <ScaleCrop>false</ScaleCrop>
  <LinksUpToDate>false</LinksUpToDate>
  <CharactersWithSpaces>5057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2021-05-15T12:44:33Z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D1B647821C66415DB21DE3CD18FD4E66</vt:lpwstr>
  </property>
</Properties>
</file>