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pStyle w:val="3"/>
        <w:spacing w:line="240" w:lineRule="auto"/>
        <w:jc w:val="center"/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Φ160排水管材壁厚检验过程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kern w:val="0"/>
          <w:sz w:val="30"/>
          <w:szCs w:val="30"/>
        </w:rPr>
        <w:t>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GB/T 8806-2008塑料管道系统 塑料部件 尺寸的测定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带表游标卡尺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（0～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mm,MPEV:0.03mm</w:t>
      </w:r>
    </w:p>
    <w:p>
      <w:pPr>
        <w:tabs>
          <w:tab w:val="center" w:pos="4153"/>
        </w:tabs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管材壁厚(6.2</w:t>
      </w:r>
      <w:r>
        <w:rPr>
          <w:rFonts w:hint="default" w:ascii="Times New Roman" w:hAnsi="Times New Roman" w:eastAsia="宋体" w:cs="Times New Roman"/>
          <w:sz w:val="24"/>
          <w:szCs w:val="24"/>
        </w:rPr>
        <w:t>～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6.9)mm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PE管试样安放在检测台上，确认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带表游标卡尺处于正常工作状态，对零位，开始检验厚度，记录检验数据</w:t>
      </w:r>
      <w:r>
        <w:rPr>
          <w:rFonts w:hint="default" w:ascii="Times New Roman" w:hAnsi="Times New Roman" w:eastAsia="宋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m:oMathPara>
        <m:oMath>
          <m:r>
            <m:rPr/>
            <w:rPr>
              <w:rFonts w:hint="default" w:ascii="Cambria Math" w:hAnsi="Cambria Math" w:eastAsia="宋体" w:cs="Times New Roman"/>
              <w:position w:val="-4"/>
              <w:sz w:val="24"/>
              <w:szCs w:val="24"/>
            </w:rPr>
            <m:t>ΔL=L</m:t>
          </m:r>
        </m:oMath>
      </m:oMathPara>
    </w:p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管材壁厚的检验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</w:rPr>
        <w:t>结果</w:t>
      </w:r>
    </w:p>
    <w:p>
      <w:pPr>
        <w:pStyle w:val="3"/>
        <w:spacing w:line="240" w:lineRule="auto"/>
        <w:ind w:firstLine="720" w:firstLineChars="30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L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管材壁厚的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读数</w:t>
      </w:r>
      <w:r>
        <w:rPr>
          <w:rFonts w:hint="default" w:ascii="Times New Roman" w:hAnsi="Times New Roman" w:eastAsia="宋体" w:cs="Times New Roman"/>
          <w:sz w:val="24"/>
          <w:szCs w:val="24"/>
        </w:rPr>
        <w:t>值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主要来源</w:t>
      </w:r>
      <w:r>
        <w:rPr>
          <w:rFonts w:hint="default" w:ascii="Times New Roman" w:hAnsi="Times New Roman" w:eastAsia="宋体" w:cs="Times New Roman"/>
          <w:sz w:val="24"/>
          <w:szCs w:val="24"/>
        </w:rPr>
        <w:t>：测量重复性引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5" o:spt="75" type="#_x0000_t75" style="height:16.7pt;width:1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6" o:spt="75" type="#_x0000_t75" style="height:16.7pt;width:12.8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position w:val="-10"/>
          <w:sz w:val="24"/>
          <w:szCs w:val="24"/>
        </w:rPr>
        <w:object>
          <v:shape id="_x0000_i1027" o:spt="75" type="#_x0000_t75" style="height:16.7pt;width:1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做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带表游标卡尺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正常工作状态下，同一组人，用同一台设备，在相临近的时间内，对被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检测的管材厚度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次，得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</w:rPr>
        <w:t>个测量数据汇于表1：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3600" w:firstLineChars="15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1:</w:t>
      </w:r>
      <w:r>
        <w:rPr>
          <w:rFonts w:hint="default" w:ascii="Times New Roman" w:hAnsi="Times New Roman" w:eastAsia="宋体" w:cs="Times New Roman"/>
          <w:sz w:val="24"/>
          <w:szCs w:val="24"/>
        </w:rPr>
        <w:t>重复性数据</w:t>
      </w: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172"/>
        <w:gridCol w:w="1508"/>
        <w:gridCol w:w="1428"/>
        <w:gridCol w:w="143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2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2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6.31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6.36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6.31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6.38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2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28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测得值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(mm)</w:t>
            </w:r>
          </w:p>
        </w:tc>
        <w:tc>
          <w:tcPr>
            <w:tcW w:w="1172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6.39</w:t>
            </w:r>
          </w:p>
        </w:tc>
        <w:tc>
          <w:tcPr>
            <w:tcW w:w="150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6.40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6.40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6.31</w:t>
            </w:r>
          </w:p>
        </w:tc>
        <w:tc>
          <w:tcPr>
            <w:tcW w:w="153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6.36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object>
          <v:shape id="_x0000_i1028" o:spt="75" alt="" type="#_x0000_t75" style="height:38.95pt;width:143.2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9" o:spt="75" alt="" type="#_x0000_t75" style="height:41pt;width:209.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0" o:spt="75" type="#_x0000_t75" style="height:17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31" o:spt="75" type="#_x0000_t75" style="height:17pt;width:1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1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32" o:spt="75" type="#_x0000_t75" style="height:16.7pt;width:1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6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33" o:spt="75" alt="" type="#_x0000_t75" style="height:30pt;width:130.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kern w:val="0"/>
          <w:position w:val="-10"/>
          <w:sz w:val="24"/>
          <w:szCs w:val="24"/>
        </w:rPr>
        <w:object>
          <v:shape id="_x0000_i1034" o:spt="75" type="#_x0000_t75" style="height:16.75pt;width:12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2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带表游标卡尺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（0～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200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mm的MPEV:0.03mm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</w:rPr>
        <w:t>服从均匀分布，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半宽a=0.03mm,</w:t>
      </w: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sz w:val="24"/>
          <w:szCs w:val="24"/>
        </w:rPr>
        <w:t>，则由设备示值误差引入的不确定分量为：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-142" w:firstLine="2980" w:firstLineChars="1242"/>
        <w:textAlignment w:val="auto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position w:val="-28"/>
          <w:sz w:val="24"/>
          <w:szCs w:val="24"/>
        </w:rPr>
        <w:object>
          <v:shape id="_x0000_i1035" o:spt="75" type="#_x0000_t75" style="height:33pt;width:132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4">
            <o:LockedField>false</o:LockedField>
          </o:OLEObject>
        </w:objec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标准不确定度汇总表</w:t>
      </w:r>
    </w:p>
    <w:tbl>
      <w:tblPr>
        <w:tblStyle w:val="5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61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0.0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173mm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6"/>
          <w:sz w:val="24"/>
          <w:szCs w:val="24"/>
          <w:vertAlign w:val="subscript"/>
        </w:rPr>
        <w:object>
          <v:shape id="_x0000_i1036" o:spt="75" alt="" type="#_x0000_t75" style="height:23.9pt;width:211.9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6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36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2,置信概率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780" w:firstLine="780" w:firstLineChars="325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421mm</w:t>
      </w:r>
      <w:r>
        <w:rPr>
          <w:rFonts w:hint="default" w:ascii="Times New Roman" w:hAnsi="Times New Roman" w:eastAsia="宋体" w:cs="Times New Roman"/>
          <w:sz w:val="24"/>
          <w:szCs w:val="24"/>
        </w:rPr>
        <w:t>＝0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.09mm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780" w:firstLine="919" w:firstLineChars="383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>0.0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9mm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p>
      <w:pPr>
        <w:pStyle w:val="2"/>
        <w:jc w:val="both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评定人：李益民                         评定日期：2020年08月07日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D5B0F"/>
    <w:rsid w:val="00227CDF"/>
    <w:rsid w:val="003869A8"/>
    <w:rsid w:val="0047357A"/>
    <w:rsid w:val="00477F42"/>
    <w:rsid w:val="00486E22"/>
    <w:rsid w:val="0055550A"/>
    <w:rsid w:val="005A154F"/>
    <w:rsid w:val="006E25D7"/>
    <w:rsid w:val="007A54BF"/>
    <w:rsid w:val="00A27A88"/>
    <w:rsid w:val="00B72BDD"/>
    <w:rsid w:val="00D24F36"/>
    <w:rsid w:val="00D60E80"/>
    <w:rsid w:val="00F55B64"/>
    <w:rsid w:val="010B7486"/>
    <w:rsid w:val="011E2949"/>
    <w:rsid w:val="017553C5"/>
    <w:rsid w:val="023C4642"/>
    <w:rsid w:val="029D4DA9"/>
    <w:rsid w:val="02F23263"/>
    <w:rsid w:val="03635A4A"/>
    <w:rsid w:val="038C6124"/>
    <w:rsid w:val="03B86145"/>
    <w:rsid w:val="03D1110E"/>
    <w:rsid w:val="0414710B"/>
    <w:rsid w:val="04444815"/>
    <w:rsid w:val="04CF604F"/>
    <w:rsid w:val="05DE5EC4"/>
    <w:rsid w:val="062619D7"/>
    <w:rsid w:val="06FA2556"/>
    <w:rsid w:val="07AE3BF8"/>
    <w:rsid w:val="07BB6F92"/>
    <w:rsid w:val="07E11955"/>
    <w:rsid w:val="085B7205"/>
    <w:rsid w:val="086A1126"/>
    <w:rsid w:val="08A641BB"/>
    <w:rsid w:val="091E4377"/>
    <w:rsid w:val="098648CE"/>
    <w:rsid w:val="09B2742D"/>
    <w:rsid w:val="09D66F20"/>
    <w:rsid w:val="09E4354A"/>
    <w:rsid w:val="0A9A5E74"/>
    <w:rsid w:val="0BE4427E"/>
    <w:rsid w:val="0C862A47"/>
    <w:rsid w:val="0D400137"/>
    <w:rsid w:val="0E2137A4"/>
    <w:rsid w:val="0EBC1312"/>
    <w:rsid w:val="10263F20"/>
    <w:rsid w:val="10291564"/>
    <w:rsid w:val="10937447"/>
    <w:rsid w:val="10C76CC6"/>
    <w:rsid w:val="11347D05"/>
    <w:rsid w:val="1173768E"/>
    <w:rsid w:val="1183738F"/>
    <w:rsid w:val="11B41D02"/>
    <w:rsid w:val="11DD0A90"/>
    <w:rsid w:val="120B56BA"/>
    <w:rsid w:val="131A3D80"/>
    <w:rsid w:val="137C0F65"/>
    <w:rsid w:val="14643F10"/>
    <w:rsid w:val="150669D4"/>
    <w:rsid w:val="15374B73"/>
    <w:rsid w:val="155F7A11"/>
    <w:rsid w:val="157E7FB6"/>
    <w:rsid w:val="1581369B"/>
    <w:rsid w:val="17F60DB1"/>
    <w:rsid w:val="18175742"/>
    <w:rsid w:val="18337EA9"/>
    <w:rsid w:val="183E7280"/>
    <w:rsid w:val="184E5057"/>
    <w:rsid w:val="18C771CC"/>
    <w:rsid w:val="19C50968"/>
    <w:rsid w:val="1A2A0BB3"/>
    <w:rsid w:val="1B8F690F"/>
    <w:rsid w:val="1C033922"/>
    <w:rsid w:val="1C1D5C0A"/>
    <w:rsid w:val="1C401F06"/>
    <w:rsid w:val="1D4B5577"/>
    <w:rsid w:val="1D530E61"/>
    <w:rsid w:val="1DA41108"/>
    <w:rsid w:val="1E451D64"/>
    <w:rsid w:val="1E5238B9"/>
    <w:rsid w:val="1ED65FA3"/>
    <w:rsid w:val="1F0810A9"/>
    <w:rsid w:val="1F2D163E"/>
    <w:rsid w:val="1FF83DB6"/>
    <w:rsid w:val="200A596C"/>
    <w:rsid w:val="21EE24D4"/>
    <w:rsid w:val="2239192E"/>
    <w:rsid w:val="229273A8"/>
    <w:rsid w:val="22EC0D74"/>
    <w:rsid w:val="23877F05"/>
    <w:rsid w:val="2394066B"/>
    <w:rsid w:val="23C1408C"/>
    <w:rsid w:val="244376E3"/>
    <w:rsid w:val="24CD4072"/>
    <w:rsid w:val="25447ECB"/>
    <w:rsid w:val="25983A51"/>
    <w:rsid w:val="25B94FC2"/>
    <w:rsid w:val="25F76117"/>
    <w:rsid w:val="26CD36F3"/>
    <w:rsid w:val="273A3B45"/>
    <w:rsid w:val="27725E1D"/>
    <w:rsid w:val="27EC6C0B"/>
    <w:rsid w:val="27F32D4E"/>
    <w:rsid w:val="295E52F6"/>
    <w:rsid w:val="29691941"/>
    <w:rsid w:val="2B132031"/>
    <w:rsid w:val="2B811472"/>
    <w:rsid w:val="2DDD39B0"/>
    <w:rsid w:val="2F1C109C"/>
    <w:rsid w:val="2F346609"/>
    <w:rsid w:val="2FDA2AAB"/>
    <w:rsid w:val="315C7379"/>
    <w:rsid w:val="31957FBC"/>
    <w:rsid w:val="32014014"/>
    <w:rsid w:val="32717720"/>
    <w:rsid w:val="32955FDA"/>
    <w:rsid w:val="32D66F8E"/>
    <w:rsid w:val="32FD5AF2"/>
    <w:rsid w:val="347F3923"/>
    <w:rsid w:val="348C6E7B"/>
    <w:rsid w:val="35824CC3"/>
    <w:rsid w:val="35E07162"/>
    <w:rsid w:val="36153E01"/>
    <w:rsid w:val="36154BBB"/>
    <w:rsid w:val="36184782"/>
    <w:rsid w:val="36581C34"/>
    <w:rsid w:val="36E03497"/>
    <w:rsid w:val="37A94C31"/>
    <w:rsid w:val="37DF6D65"/>
    <w:rsid w:val="38830CBD"/>
    <w:rsid w:val="393B04E0"/>
    <w:rsid w:val="39983970"/>
    <w:rsid w:val="3A3A3DB5"/>
    <w:rsid w:val="3AE5391D"/>
    <w:rsid w:val="3B933961"/>
    <w:rsid w:val="3C25426C"/>
    <w:rsid w:val="3D6D75D2"/>
    <w:rsid w:val="3DA33914"/>
    <w:rsid w:val="3E782D86"/>
    <w:rsid w:val="3E8C0322"/>
    <w:rsid w:val="3F6A1D37"/>
    <w:rsid w:val="3F887DC7"/>
    <w:rsid w:val="3FEA1163"/>
    <w:rsid w:val="409F2474"/>
    <w:rsid w:val="411C65A6"/>
    <w:rsid w:val="41F07590"/>
    <w:rsid w:val="425A1057"/>
    <w:rsid w:val="42777D1F"/>
    <w:rsid w:val="43223D1F"/>
    <w:rsid w:val="43320D10"/>
    <w:rsid w:val="446668E8"/>
    <w:rsid w:val="44691420"/>
    <w:rsid w:val="44875980"/>
    <w:rsid w:val="45BD11D4"/>
    <w:rsid w:val="45EE2DBA"/>
    <w:rsid w:val="45FE3658"/>
    <w:rsid w:val="462C7D91"/>
    <w:rsid w:val="47674205"/>
    <w:rsid w:val="47882B0A"/>
    <w:rsid w:val="47CD7160"/>
    <w:rsid w:val="48607D26"/>
    <w:rsid w:val="48D34F5D"/>
    <w:rsid w:val="494E30D9"/>
    <w:rsid w:val="49680B69"/>
    <w:rsid w:val="499A7F67"/>
    <w:rsid w:val="4A8D220A"/>
    <w:rsid w:val="4B2E0189"/>
    <w:rsid w:val="4B395076"/>
    <w:rsid w:val="4B6C3E99"/>
    <w:rsid w:val="4E3D1685"/>
    <w:rsid w:val="4E814D20"/>
    <w:rsid w:val="4E8F1AA7"/>
    <w:rsid w:val="4E9273F7"/>
    <w:rsid w:val="4F3508CD"/>
    <w:rsid w:val="4F7E7E11"/>
    <w:rsid w:val="4FCE1DD1"/>
    <w:rsid w:val="4FF2124F"/>
    <w:rsid w:val="50317DE9"/>
    <w:rsid w:val="505949C6"/>
    <w:rsid w:val="51D71733"/>
    <w:rsid w:val="526747A8"/>
    <w:rsid w:val="52790088"/>
    <w:rsid w:val="52A53285"/>
    <w:rsid w:val="53CE6C90"/>
    <w:rsid w:val="55043E09"/>
    <w:rsid w:val="556C5FE5"/>
    <w:rsid w:val="559716B9"/>
    <w:rsid w:val="56322F5C"/>
    <w:rsid w:val="57630932"/>
    <w:rsid w:val="57CC2099"/>
    <w:rsid w:val="57FC2E09"/>
    <w:rsid w:val="58D31CB9"/>
    <w:rsid w:val="5A3C5A5F"/>
    <w:rsid w:val="5A5F1F59"/>
    <w:rsid w:val="5A67768B"/>
    <w:rsid w:val="5B3461BF"/>
    <w:rsid w:val="5BE862B1"/>
    <w:rsid w:val="5C4F4F53"/>
    <w:rsid w:val="5CEB3289"/>
    <w:rsid w:val="5CFE537F"/>
    <w:rsid w:val="5D6C5398"/>
    <w:rsid w:val="5D7B6436"/>
    <w:rsid w:val="5E310C29"/>
    <w:rsid w:val="5E6C67F7"/>
    <w:rsid w:val="5EC82AFF"/>
    <w:rsid w:val="5EFD54A6"/>
    <w:rsid w:val="5FBA6C7D"/>
    <w:rsid w:val="6001421E"/>
    <w:rsid w:val="615F5664"/>
    <w:rsid w:val="63DB1258"/>
    <w:rsid w:val="647B186C"/>
    <w:rsid w:val="66C86106"/>
    <w:rsid w:val="66D82DB8"/>
    <w:rsid w:val="673C28C6"/>
    <w:rsid w:val="677D2760"/>
    <w:rsid w:val="67DB5C17"/>
    <w:rsid w:val="6A6E4588"/>
    <w:rsid w:val="6A764632"/>
    <w:rsid w:val="6B8A492D"/>
    <w:rsid w:val="6CE91E9A"/>
    <w:rsid w:val="6D1A7968"/>
    <w:rsid w:val="6DAA03FE"/>
    <w:rsid w:val="6E1F4BB9"/>
    <w:rsid w:val="6E4C7FD6"/>
    <w:rsid w:val="6E580F66"/>
    <w:rsid w:val="6E9F7006"/>
    <w:rsid w:val="6FD92EF4"/>
    <w:rsid w:val="70817E62"/>
    <w:rsid w:val="717306DD"/>
    <w:rsid w:val="71C507D1"/>
    <w:rsid w:val="735A07EC"/>
    <w:rsid w:val="735F5446"/>
    <w:rsid w:val="741D7D02"/>
    <w:rsid w:val="745733FC"/>
    <w:rsid w:val="7520122A"/>
    <w:rsid w:val="75636C8F"/>
    <w:rsid w:val="761710BB"/>
    <w:rsid w:val="761D628E"/>
    <w:rsid w:val="76777F85"/>
    <w:rsid w:val="770866D4"/>
    <w:rsid w:val="77DE6B55"/>
    <w:rsid w:val="789B1DCD"/>
    <w:rsid w:val="78B05B1C"/>
    <w:rsid w:val="78EB596B"/>
    <w:rsid w:val="793B1183"/>
    <w:rsid w:val="7A7F2C28"/>
    <w:rsid w:val="7A8B7668"/>
    <w:rsid w:val="7B6107E7"/>
    <w:rsid w:val="7CDB1757"/>
    <w:rsid w:val="7D106B67"/>
    <w:rsid w:val="7D8B584F"/>
    <w:rsid w:val="7DDB4AF1"/>
    <w:rsid w:val="7DDE764A"/>
    <w:rsid w:val="7E452E04"/>
    <w:rsid w:val="7E5102DC"/>
    <w:rsid w:val="7F156078"/>
    <w:rsid w:val="7F32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1.bin"/><Relationship Id="rId23" Type="http://schemas.openxmlformats.org/officeDocument/2006/relationships/image" Target="media/image9.wmf"/><Relationship Id="rId22" Type="http://schemas.openxmlformats.org/officeDocument/2006/relationships/oleObject" Target="embeddings/oleObject10.bin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1175</Characters>
  <Lines>9</Lines>
  <Paragraphs>2</Paragraphs>
  <TotalTime>22</TotalTime>
  <ScaleCrop>false</ScaleCrop>
  <LinksUpToDate>false</LinksUpToDate>
  <CharactersWithSpaces>1379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2021-04-25T15:11:36Z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D011B1EA2570429DA3925E84342F2D56</vt:lpwstr>
  </property>
</Properties>
</file>