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浙江企信安全技术有限公司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E:34.06.00,35.10.00</w:t>
            </w:r>
          </w:p>
          <w:p>
            <w:pPr>
              <w:spacing w:line="240" w:lineRule="exact"/>
              <w:jc w:val="center"/>
              <w:rPr>
                <w:b/>
                <w:color w:val="000000" w:themeColor="text1"/>
                <w:sz w:val="20"/>
                <w:szCs w:val="20"/>
              </w:rPr>
            </w:pPr>
            <w:r>
              <w:rPr>
                <w:b/>
                <w:color w:val="000000" w:themeColor="text1"/>
                <w:sz w:val="20"/>
                <w:szCs w:val="20"/>
              </w:rPr>
              <w:t>O:34.06.00,35.10.00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陆斌</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Q:35.10.00</w:t>
            </w:r>
          </w:p>
          <w:p>
            <w:pPr>
              <w:spacing w:line="240" w:lineRule="exact"/>
              <w:jc w:val="center"/>
              <w:rPr>
                <w:b/>
                <w:color w:val="000000" w:themeColor="text1"/>
                <w:sz w:val="20"/>
                <w:szCs w:val="20"/>
              </w:rPr>
            </w:pPr>
            <w:r>
              <w:rPr>
                <w:b/>
                <w:color w:val="000000" w:themeColor="text1"/>
                <w:sz w:val="20"/>
                <w:szCs w:val="20"/>
              </w:rPr>
              <w:t>E:35.10.00</w:t>
            </w:r>
          </w:p>
          <w:p>
            <w:pPr>
              <w:spacing w:line="240" w:lineRule="exact"/>
              <w:jc w:val="center"/>
              <w:rPr>
                <w:b/>
                <w:color w:val="000000" w:themeColor="text1"/>
                <w:sz w:val="20"/>
                <w:szCs w:val="20"/>
              </w:rPr>
            </w:pPr>
            <w:r>
              <w:rPr>
                <w:b/>
                <w:color w:val="000000" w:themeColor="text1"/>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浙江企信安全技术有限公司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浙江省嘉兴市经济技术开发区惠运路170号出租车服务中心新建房1幢3楼309室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314000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浙江省嘉兴市经济技术开发区惠运路170号出租车服务中心新建房1幢3楼309室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314000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曾正</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15857390764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张玉松</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杨李秦</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Q：安全生产技术服务、安全评价咨询、应急救援预案咨询、劳务派遣服务（限许可范围内）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E：安全生产技术服务、安全评价咨询、应急救援预案咨询、劳务派遣服务（限许可范围内）所涉及场所相关的环境管理活动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O：安全生产技术服务、安全评价咨询、应急救援预案咨询、劳务派遣服务（限许可范围内）所涉及场所相关的职业健康安全管理活动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Q：34.06.00;35.10.00</w:t>
            </w:r>
          </w:p>
          <w:p>
            <w:pPr>
              <w:spacing w:line="320" w:lineRule="exact"/>
              <w:rPr>
                <w:rFonts w:ascii="宋体" w:hAnsi="宋体"/>
                <w:b/>
                <w:color w:val="000000" w:themeColor="text1"/>
                <w:sz w:val="20"/>
                <w:szCs w:val="20"/>
              </w:rPr>
            </w:pPr>
            <w:r>
              <w:rPr>
                <w:rFonts w:ascii="宋体" w:hAnsi="宋体"/>
                <w:b/>
                <w:color w:val="000000" w:themeColor="text1"/>
                <w:sz w:val="20"/>
                <w:szCs w:val="20"/>
              </w:rPr>
              <w:t>E：34.06.00;35.10.00</w:t>
            </w:r>
          </w:p>
          <w:p>
            <w:pPr>
              <w:spacing w:line="320" w:lineRule="exact"/>
              <w:rPr>
                <w:rFonts w:ascii="宋体" w:hAnsi="宋体"/>
                <w:b/>
                <w:color w:val="000000" w:themeColor="text1"/>
                <w:sz w:val="20"/>
                <w:szCs w:val="20"/>
              </w:rPr>
            </w:pPr>
            <w:r>
              <w:rPr>
                <w:rFonts w:ascii="宋体" w:hAnsi="宋体"/>
                <w:b/>
                <w:color w:val="000000" w:themeColor="text1"/>
                <w:sz w:val="20"/>
                <w:szCs w:val="20"/>
              </w:rPr>
              <w:t>O：34.06.00;35.10.00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pPr>
              <w:jc w:val="left"/>
              <w:rPr>
                <w:rFonts w:ascii="宋体" w:hAnsi="宋体"/>
                <w:b/>
                <w:color w:val="000000" w:themeColor="text1"/>
                <w:spacing w:val="-20"/>
                <w:sz w:val="20"/>
                <w:szCs w:val="20"/>
                <w:u w:val="single"/>
              </w:rPr>
            </w:pPr>
            <w:r>
              <w:rPr>
                <w:rFonts w:hint="eastAsia" w:ascii="宋体" w:hAnsi="宋体"/>
                <w:bCs/>
                <w:color w:val="000000"/>
                <w:spacing w:val="-20"/>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w:t>
            </w:r>
            <w:r>
              <w:rPr>
                <w:rFonts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环境因素危险源识别、应急准备和相应、合规义务识别及评价，采购管理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培训</w:t>
            </w:r>
            <w:r>
              <w:rPr>
                <w:rFonts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Cs/>
                <w:color w:val="000000"/>
                <w:spacing w:val="-20"/>
                <w:sz w:val="20"/>
                <w:szCs w:val="20"/>
              </w:rPr>
              <w:t>销售过程、客户满意等过程及相应质量、环境、职业健康安全管理体系运行过程；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审核</w:t>
            </w:r>
            <w:r>
              <w:rPr>
                <w:rFonts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Cs/>
                <w:color w:val="000000"/>
                <w:spacing w:val="-20"/>
                <w:sz w:val="20"/>
                <w:szCs w:val="20"/>
              </w:rPr>
              <w:t>基础设施、过程环境、产品和服务的要求、不合格品的管控、监视和测量、纠正预防、改进、部门危险源辨识、风险评价和风险控制措施的确定、应急准备和响应及相应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4"/>
        <w:gridCol w:w="2410"/>
        <w:gridCol w:w="1701"/>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tcPr>
          <w:p>
            <w:pPr>
              <w:rPr>
                <w:b/>
                <w:color w:val="000000" w:themeColor="text1"/>
                <w:sz w:val="20"/>
                <w:szCs w:val="20"/>
              </w:rPr>
            </w:pPr>
            <w:r>
              <w:rPr>
                <w:rFonts w:hint="eastAsia"/>
                <w:b/>
                <w:color w:val="000000" w:themeColor="text1"/>
                <w:sz w:val="20"/>
                <w:szCs w:val="20"/>
              </w:rPr>
              <w:t>产品名称/环境影响评价书</w:t>
            </w:r>
          </w:p>
          <w:p>
            <w:pPr>
              <w:rPr>
                <w:b/>
                <w:color w:val="000000" w:themeColor="text1"/>
                <w:sz w:val="20"/>
                <w:szCs w:val="20"/>
              </w:rPr>
            </w:pPr>
            <w:r>
              <w:rPr>
                <w:rFonts w:hint="eastAsia"/>
                <w:b/>
                <w:color w:val="000000" w:themeColor="text1"/>
                <w:sz w:val="20"/>
                <w:szCs w:val="20"/>
              </w:rPr>
              <w:t>服务名称：</w:t>
            </w:r>
          </w:p>
          <w:p>
            <w:pPr>
              <w:rPr>
                <w:b/>
                <w:color w:val="000000" w:themeColor="text1"/>
                <w:sz w:val="20"/>
                <w:szCs w:val="20"/>
              </w:rPr>
            </w:pPr>
            <w:r>
              <w:rPr>
                <w:sz w:val="20"/>
              </w:rPr>
              <w:t>安全生产技术服务、安全评价咨询、应急救援预案咨询、劳务派遣服务（限许可范围内）</w:t>
            </w:r>
          </w:p>
        </w:tc>
        <w:tc>
          <w:tcPr>
            <w:tcW w:w="241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701" w:type="dxa"/>
          </w:tcPr>
          <w:p>
            <w:pPr>
              <w:rPr>
                <w:b/>
                <w:color w:val="000000" w:themeColor="text1"/>
                <w:sz w:val="20"/>
                <w:szCs w:val="20"/>
              </w:rPr>
            </w:pPr>
            <w:r>
              <w:rPr>
                <w:rFonts w:hint="eastAsia"/>
                <w:b/>
                <w:color w:val="000000" w:themeColor="text1"/>
                <w:sz w:val="20"/>
                <w:szCs w:val="20"/>
              </w:rPr>
              <w:t>规格</w:t>
            </w:r>
          </w:p>
        </w:tc>
        <w:tc>
          <w:tcPr>
            <w:tcW w:w="3260" w:type="dxa"/>
          </w:tcPr>
          <w:p>
            <w:pPr>
              <w:rPr>
                <w:rFonts w:hint="eastAsia"/>
                <w:b/>
                <w:color w:val="000000" w:themeColor="text1"/>
                <w:sz w:val="20"/>
                <w:szCs w:val="20"/>
              </w:rPr>
            </w:pPr>
            <w:r>
              <w:rPr>
                <w:rFonts w:hint="eastAsia"/>
                <w:b/>
                <w:color w:val="000000" w:themeColor="text1"/>
                <w:sz w:val="20"/>
                <w:szCs w:val="20"/>
              </w:rPr>
              <w:t>执行标准</w:t>
            </w:r>
          </w:p>
          <w:p>
            <w:pPr>
              <w:rPr>
                <w:rFonts w:hint="eastAsia"/>
                <w:b/>
                <w:color w:val="000000" w:themeColor="text1"/>
                <w:sz w:val="20"/>
                <w:szCs w:val="20"/>
              </w:rPr>
            </w:pPr>
            <w:r>
              <w:rPr>
                <w:rFonts w:hint="eastAsia" w:ascii="宋体" w:hAnsi="宋体"/>
                <w:color w:val="000000"/>
                <w:sz w:val="21"/>
                <w:szCs w:val="21"/>
              </w:rPr>
              <w:t>《生产过程安全卫生要求总则》GB/T12801-2008</w:t>
            </w:r>
            <w:r>
              <w:rPr>
                <w:rFonts w:hint="eastAsia" w:ascii="宋体" w:hAnsi="宋体"/>
                <w:color w:val="000000"/>
                <w:sz w:val="21"/>
                <w:szCs w:val="21"/>
                <w:lang w:eastAsia="zh-CN"/>
              </w:rPr>
              <w:t>、</w:t>
            </w:r>
            <w:r>
              <w:rPr>
                <w:rFonts w:ascii="宋体" w:hAnsi="宋体"/>
                <w:color w:val="000000"/>
                <w:sz w:val="21"/>
                <w:szCs w:val="21"/>
              </w:rPr>
              <w:t>《生产设备安全卫生设计总则》GB 5083—1985</w:t>
            </w:r>
            <w:r>
              <w:rPr>
                <w:rFonts w:hint="eastAsia" w:ascii="宋体" w:hAnsi="宋体"/>
                <w:color w:val="000000"/>
                <w:sz w:val="21"/>
                <w:szCs w:val="21"/>
                <w:lang w:eastAsia="zh-CN"/>
              </w:rPr>
              <w:t>、</w:t>
            </w:r>
            <w:r>
              <w:rPr>
                <w:rFonts w:ascii="宋体" w:hAnsi="宋体"/>
                <w:bCs/>
                <w:color w:val="000000"/>
                <w:sz w:val="21"/>
                <w:szCs w:val="21"/>
              </w:rPr>
              <w:t>《生产过程危险和有害因素分类与代码》GB/T 13861-</w:t>
            </w:r>
            <w:r>
              <w:rPr>
                <w:rFonts w:hint="eastAsia" w:ascii="宋体" w:hAnsi="宋体"/>
                <w:bCs/>
                <w:color w:val="000000"/>
                <w:sz w:val="21"/>
                <w:szCs w:val="21"/>
              </w:rPr>
              <w:t>2009</w:t>
            </w:r>
            <w:r>
              <w:rPr>
                <w:rFonts w:hint="eastAsia" w:ascii="宋体" w:hAnsi="宋体"/>
                <w:bCs/>
                <w:color w:val="000000"/>
                <w:sz w:val="21"/>
                <w:szCs w:val="21"/>
                <w:lang w:eastAsia="zh-CN"/>
              </w:rPr>
              <w:t>、</w:t>
            </w:r>
            <w:r>
              <w:rPr>
                <w:rFonts w:ascii="宋体" w:hAnsi="宋体"/>
                <w:color w:val="000000"/>
                <w:sz w:val="21"/>
                <w:szCs w:val="21"/>
              </w:rPr>
              <w:t>《工作场所危害因素职业接触限值化学有害因素》GBZ 2.1－2007</w:t>
            </w:r>
            <w:r>
              <w:rPr>
                <w:rFonts w:hint="eastAsia" w:ascii="宋体" w:hAnsi="宋体"/>
                <w:color w:val="000000"/>
                <w:sz w:val="21"/>
                <w:szCs w:val="21"/>
                <w:lang w:eastAsia="zh-CN"/>
              </w:rPr>
              <w:t>、</w:t>
            </w:r>
            <w:r>
              <w:rPr>
                <w:rFonts w:ascii="宋体" w:hAnsi="宋体"/>
                <w:color w:val="000000"/>
                <w:sz w:val="21"/>
                <w:szCs w:val="21"/>
              </w:rPr>
              <w:t>《</w:t>
            </w:r>
            <w:r>
              <w:rPr>
                <w:rFonts w:hint="eastAsia" w:ascii="宋体" w:hAnsi="宋体"/>
                <w:color w:val="000000"/>
                <w:sz w:val="21"/>
                <w:szCs w:val="21"/>
              </w:rPr>
              <w:t>个体防护装备选用规范</w:t>
            </w:r>
            <w:r>
              <w:rPr>
                <w:rFonts w:ascii="宋体" w:hAnsi="宋体"/>
                <w:color w:val="000000"/>
                <w:sz w:val="21"/>
                <w:szCs w:val="21"/>
              </w:rPr>
              <w:t>》GB</w:t>
            </w:r>
            <w:r>
              <w:rPr>
                <w:rFonts w:hint="eastAsia" w:ascii="宋体" w:hAnsi="宋体"/>
                <w:color w:val="000000"/>
                <w:sz w:val="21"/>
                <w:szCs w:val="21"/>
              </w:rPr>
              <w:t>/T</w:t>
            </w:r>
            <w:r>
              <w:rPr>
                <w:rFonts w:ascii="宋体" w:hAnsi="宋体"/>
                <w:color w:val="000000"/>
                <w:sz w:val="21"/>
                <w:szCs w:val="21"/>
              </w:rPr>
              <w:t xml:space="preserve"> 11651-</w:t>
            </w:r>
            <w:r>
              <w:rPr>
                <w:rFonts w:hint="eastAsia" w:ascii="宋体" w:hAnsi="宋体"/>
                <w:color w:val="000000"/>
                <w:sz w:val="21"/>
                <w:szCs w:val="21"/>
              </w:rPr>
              <w:t>2008</w:t>
            </w:r>
            <w:r>
              <w:rPr>
                <w:rFonts w:hint="eastAsia" w:ascii="宋体" w:hAnsi="宋体"/>
                <w:color w:val="000000"/>
                <w:sz w:val="21"/>
                <w:szCs w:val="21"/>
                <w:lang w:eastAsia="zh-CN"/>
              </w:rPr>
              <w:t>、</w:t>
            </w:r>
            <w:r>
              <w:rPr>
                <w:rFonts w:ascii="宋体" w:hAnsi="宋体"/>
                <w:color w:val="000000"/>
                <w:sz w:val="21"/>
                <w:szCs w:val="21"/>
              </w:rPr>
              <w:t>《安全标志</w:t>
            </w:r>
            <w:r>
              <w:rPr>
                <w:rFonts w:hint="eastAsia" w:ascii="宋体" w:hAnsi="宋体"/>
                <w:color w:val="000000"/>
                <w:sz w:val="21"/>
                <w:szCs w:val="21"/>
              </w:rPr>
              <w:t>及其使用导则</w:t>
            </w:r>
            <w:r>
              <w:rPr>
                <w:rFonts w:ascii="宋体" w:hAnsi="宋体"/>
                <w:color w:val="000000"/>
                <w:sz w:val="21"/>
                <w:szCs w:val="21"/>
              </w:rPr>
              <w:t>》GB 2894-</w:t>
            </w:r>
            <w:r>
              <w:rPr>
                <w:rFonts w:hint="eastAsia" w:ascii="宋体" w:hAnsi="宋体"/>
                <w:color w:val="000000"/>
                <w:sz w:val="21"/>
                <w:szCs w:val="21"/>
              </w:rPr>
              <w:t>2008</w:t>
            </w:r>
            <w:r>
              <w:rPr>
                <w:rFonts w:hint="eastAsia" w:ascii="宋体" w:hAnsi="宋体"/>
                <w:color w:val="000000"/>
                <w:sz w:val="21"/>
                <w:szCs w:val="21"/>
                <w:lang w:eastAsia="zh-CN"/>
              </w:rPr>
              <w:t>、</w:t>
            </w:r>
            <w:r>
              <w:rPr>
                <w:rFonts w:hint="eastAsia" w:ascii="宋体" w:hAnsi="宋体"/>
                <w:color w:val="000000"/>
                <w:sz w:val="21"/>
                <w:szCs w:val="21"/>
              </w:rPr>
              <w:t>企业安全生产标准化基本规范GBT33000-2016</w:t>
            </w:r>
            <w:r>
              <w:rPr>
                <w:rFonts w:hint="eastAsia" w:hAnsiTheme="minorEastAsia" w:eastAsiaTheme="minorEastAsia"/>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tcPr>
          <w:p>
            <w:pPr>
              <w:rPr>
                <w:b/>
                <w:color w:val="000000" w:themeColor="text1"/>
                <w:sz w:val="20"/>
                <w:szCs w:val="20"/>
              </w:rPr>
            </w:pPr>
          </w:p>
        </w:tc>
        <w:tc>
          <w:tcPr>
            <w:tcW w:w="2410" w:type="dxa"/>
          </w:tcPr>
          <w:p>
            <w:pPr>
              <w:rPr>
                <w:b/>
                <w:color w:val="000000" w:themeColor="text1"/>
                <w:sz w:val="20"/>
                <w:szCs w:val="20"/>
              </w:rPr>
            </w:pPr>
          </w:p>
        </w:tc>
        <w:tc>
          <w:tcPr>
            <w:tcW w:w="1701" w:type="dxa"/>
          </w:tcPr>
          <w:p>
            <w:pPr>
              <w:rPr>
                <w:b/>
                <w:color w:val="000000" w:themeColor="text1"/>
                <w:sz w:val="20"/>
                <w:szCs w:val="20"/>
              </w:rPr>
            </w:pPr>
          </w:p>
        </w:tc>
        <w:tc>
          <w:tcPr>
            <w:tcW w:w="3260" w:type="dxa"/>
          </w:tcPr>
          <w:p>
            <w:pPr>
              <w:rPr>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tcPr>
          <w:p>
            <w:pPr>
              <w:rPr>
                <w:b/>
                <w:color w:val="000000" w:themeColor="text1"/>
                <w:sz w:val="20"/>
                <w:szCs w:val="20"/>
              </w:rPr>
            </w:pPr>
          </w:p>
        </w:tc>
        <w:tc>
          <w:tcPr>
            <w:tcW w:w="2410" w:type="dxa"/>
          </w:tcPr>
          <w:p>
            <w:pPr>
              <w:rPr>
                <w:b/>
                <w:color w:val="000000" w:themeColor="text1"/>
                <w:sz w:val="20"/>
                <w:szCs w:val="20"/>
              </w:rPr>
            </w:pPr>
          </w:p>
        </w:tc>
        <w:tc>
          <w:tcPr>
            <w:tcW w:w="1701" w:type="dxa"/>
          </w:tcPr>
          <w:p>
            <w:pPr>
              <w:rPr>
                <w:b/>
                <w:color w:val="000000" w:themeColor="text1"/>
                <w:sz w:val="20"/>
                <w:szCs w:val="20"/>
              </w:rPr>
            </w:pPr>
          </w:p>
        </w:tc>
        <w:tc>
          <w:tcPr>
            <w:tcW w:w="3260"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tcPr>
          <w:p>
            <w:pPr>
              <w:rPr>
                <w:b/>
                <w:color w:val="000000" w:themeColor="text1"/>
                <w:sz w:val="20"/>
                <w:szCs w:val="20"/>
              </w:rPr>
            </w:pPr>
          </w:p>
        </w:tc>
        <w:tc>
          <w:tcPr>
            <w:tcW w:w="2410" w:type="dxa"/>
          </w:tcPr>
          <w:p>
            <w:pPr>
              <w:rPr>
                <w:b/>
                <w:color w:val="000000" w:themeColor="text1"/>
                <w:sz w:val="20"/>
                <w:szCs w:val="20"/>
              </w:rPr>
            </w:pPr>
          </w:p>
        </w:tc>
        <w:tc>
          <w:tcPr>
            <w:tcW w:w="1701" w:type="dxa"/>
          </w:tcPr>
          <w:p>
            <w:pPr>
              <w:rPr>
                <w:b/>
                <w:color w:val="000000" w:themeColor="text1"/>
                <w:sz w:val="20"/>
                <w:szCs w:val="20"/>
              </w:rPr>
            </w:pPr>
          </w:p>
        </w:tc>
        <w:tc>
          <w:tcPr>
            <w:tcW w:w="3260"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4" w:type="dxa"/>
          </w:tcPr>
          <w:p>
            <w:pPr>
              <w:rPr>
                <w:b/>
                <w:color w:val="000000" w:themeColor="text1"/>
                <w:sz w:val="20"/>
                <w:szCs w:val="20"/>
              </w:rPr>
            </w:pPr>
          </w:p>
        </w:tc>
        <w:tc>
          <w:tcPr>
            <w:tcW w:w="2410" w:type="dxa"/>
          </w:tcPr>
          <w:p>
            <w:pPr>
              <w:rPr>
                <w:b/>
                <w:color w:val="000000" w:themeColor="text1"/>
                <w:sz w:val="20"/>
                <w:szCs w:val="20"/>
              </w:rPr>
            </w:pPr>
          </w:p>
        </w:tc>
        <w:tc>
          <w:tcPr>
            <w:tcW w:w="1701" w:type="dxa"/>
          </w:tcPr>
          <w:p>
            <w:pPr>
              <w:rPr>
                <w:b/>
                <w:color w:val="000000" w:themeColor="text1"/>
                <w:sz w:val="20"/>
                <w:szCs w:val="20"/>
              </w:rPr>
            </w:pPr>
          </w:p>
        </w:tc>
        <w:tc>
          <w:tcPr>
            <w:tcW w:w="3260"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b/>
          <w:color w:val="000000"/>
          <w:spacing w:val="-10"/>
          <w:szCs w:val="21"/>
        </w:rPr>
        <w:t>▇</w:t>
      </w:r>
      <w:r>
        <w:rPr>
          <w:rFonts w:hint="eastAsia"/>
          <w:b/>
          <w:color w:val="000000" w:themeColor="text1"/>
          <w:spacing w:val="-10"/>
          <w:szCs w:val="21"/>
        </w:rPr>
        <w:t>体系运行开始的20</w:t>
      </w:r>
      <w:r>
        <w:rPr>
          <w:rFonts w:hint="eastAsia"/>
          <w:b/>
          <w:color w:val="000000" w:themeColor="text1"/>
          <w:spacing w:val="-10"/>
          <w:szCs w:val="21"/>
          <w:lang w:val="en-US" w:eastAsia="zh-CN"/>
        </w:rPr>
        <w:t>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20"/>
      <w:r>
        <w:rPr>
          <w:rFonts w:hint="eastAsia"/>
          <w:b/>
          <w:color w:val="000000" w:themeColor="text1"/>
          <w:spacing w:val="-10"/>
          <w:szCs w:val="21"/>
        </w:rPr>
        <w:t>至202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w:t>
      </w:r>
      <w:r>
        <w:rPr>
          <w:rFonts w:hint="eastAsia"/>
          <w:b/>
          <w:color w:val="000000" w:themeColor="text1"/>
          <w:spacing w:val="-10"/>
          <w:szCs w:val="21"/>
        </w:rPr>
        <w:t>6日。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ascii="宋体" w:hAnsi="宋体"/>
          <w:b/>
          <w:color w:val="000000"/>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□未完成计划，未完成的内容和原因是:</w:t>
      </w:r>
      <w:r>
        <w:rPr>
          <w:b/>
          <w:color w:val="000000" w:themeColor="text1"/>
          <w:spacing w:val="-10"/>
          <w:szCs w:val="21"/>
        </w:rPr>
        <w:t xml:space="preserve"> </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79"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auto"/>
              <w:ind w:firstLine="420" w:firstLineChars="200"/>
              <w:rPr>
                <w:rFonts w:hint="eastAsia" w:ascii="宋体" w:hAnsi="宋体" w:eastAsia="宋体"/>
                <w:color w:val="000000"/>
                <w:sz w:val="21"/>
                <w:szCs w:val="21"/>
                <w:shd w:val="clear" w:color="auto" w:fill="FFFFFF"/>
                <w:lang w:val="en-US" w:eastAsia="zh-CN"/>
              </w:rPr>
            </w:pPr>
            <w:r>
              <w:rPr>
                <w:rFonts w:hint="eastAsia" w:ascii="宋体" w:hAnsi="宋体"/>
                <w:color w:val="000000"/>
                <w:sz w:val="21"/>
                <w:szCs w:val="21"/>
                <w:shd w:val="clear" w:color="auto" w:fill="FFFFFF"/>
              </w:rPr>
              <w:t>浙江企信安全技术有限公司具有一批安全咨询、安全检查和安全社会化服务的专业技术人员。公司注册资本1000万元，是嘉兴一家专业安全服务机构，具有安全评价、安全标准化评审、安全标准化咨询以及安全员培训等安全技术领域服务。位于嘉兴市出租车服务中心内，拥有400平方米的办公区域以及可以同时开展150人、300人现场培训的教室和1个容纳20余人的会议室。目前有正式员工20多名，95%为本科及以上学历。其中安全评价师10名，注册安全工程师5名，可以快速响应和服务客户需求，为企业提供一体化的安全管理解决方案。</w:t>
            </w:r>
          </w:p>
          <w:p>
            <w:pPr>
              <w:spacing w:line="240" w:lineRule="auto"/>
              <w:ind w:firstLine="420" w:firstLineChars="200"/>
              <w:rPr>
                <w:szCs w:val="21"/>
              </w:rPr>
            </w:pPr>
            <w:r>
              <w:rPr>
                <w:rFonts w:hint="eastAsia" w:ascii="宋体" w:hAnsi="宋体"/>
                <w:color w:val="000000"/>
                <w:sz w:val="21"/>
                <w:szCs w:val="21"/>
                <w:shd w:val="clear" w:color="auto" w:fill="FFFFFF"/>
              </w:rPr>
              <w:t>公司自成立以来，已经为超过500多家企业提供了专业安全技术服务，多次承担公共安全管理、安全生产监督管理、应急救援、危化品行业管理等方面的研究。公司具有完善和健全的组织管理体系，安全评价过程控制管理体系和职业卫生管理体系，拥有一支爱岗敬业、富有生机、富有安全管理经验的服务团队和高素质的综合人才队伍。</w:t>
            </w:r>
            <w:r>
              <w:rPr>
                <w:rFonts w:hint="eastAsia" w:ascii="宋体" w:hAnsi="宋体"/>
                <w:color w:val="000000"/>
                <w:sz w:val="21"/>
                <w:szCs w:val="21"/>
                <w:shd w:val="clear" w:color="auto" w:fill="FFFFFF"/>
                <w:lang w:val="en-US" w:eastAsia="zh-CN"/>
              </w:rPr>
              <w:t>公司</w:t>
            </w:r>
            <w:r>
              <w:rPr>
                <w:rFonts w:hint="eastAsia"/>
                <w:szCs w:val="21"/>
              </w:rPr>
              <w:t>属于民营企业，企业类型为有限责任公司，法定代表人</w:t>
            </w:r>
            <w:r>
              <w:rPr>
                <w:rFonts w:hint="eastAsia"/>
                <w:szCs w:val="21"/>
                <w:lang w:val="en-US" w:eastAsia="zh-CN"/>
              </w:rPr>
              <w:t>张玉松</w:t>
            </w:r>
            <w:r>
              <w:rPr>
                <w:rFonts w:hint="eastAsia"/>
                <w:szCs w:val="21"/>
              </w:rPr>
              <w:t>，</w:t>
            </w:r>
            <w:r>
              <w:rPr>
                <w:szCs w:val="21"/>
              </w:rPr>
              <w:t>总经理</w:t>
            </w:r>
            <w:r>
              <w:rPr>
                <w:rFonts w:hint="eastAsia"/>
                <w:szCs w:val="21"/>
                <w:lang w:val="en-US" w:eastAsia="zh-CN"/>
              </w:rPr>
              <w:t>张玉松</w:t>
            </w:r>
            <w:r>
              <w:rPr>
                <w:rFonts w:hint="eastAsia"/>
                <w:szCs w:val="21"/>
              </w:rPr>
              <w:t>。</w:t>
            </w:r>
          </w:p>
          <w:p>
            <w:pPr>
              <w:ind w:firstLine="420" w:firstLineChars="200"/>
              <w:rPr>
                <w:szCs w:val="21"/>
              </w:rPr>
            </w:pPr>
            <w:r>
              <w:rPr>
                <w:rFonts w:hint="eastAsia"/>
                <w:szCs w:val="21"/>
              </w:rPr>
              <w:t>公司现有员工</w:t>
            </w:r>
            <w:r>
              <w:rPr>
                <w:rFonts w:hint="eastAsia"/>
                <w:szCs w:val="21"/>
                <w:lang w:val="en-US" w:eastAsia="zh-CN"/>
              </w:rPr>
              <w:t>10</w:t>
            </w:r>
            <w:r>
              <w:rPr>
                <w:rFonts w:hint="eastAsia"/>
                <w:szCs w:val="21"/>
              </w:rPr>
              <w:t>人，下设</w:t>
            </w:r>
            <w:r>
              <w:rPr>
                <w:rFonts w:hint="eastAsia"/>
                <w:szCs w:val="21"/>
                <w:lang w:val="en-US" w:eastAsia="zh-CN"/>
              </w:rPr>
              <w:t>综合</w:t>
            </w:r>
            <w:r>
              <w:rPr>
                <w:rFonts w:hint="eastAsia"/>
                <w:szCs w:val="21"/>
              </w:rPr>
              <w:t>部、</w:t>
            </w:r>
            <w:r>
              <w:rPr>
                <w:rFonts w:hint="eastAsia"/>
                <w:szCs w:val="21"/>
                <w:lang w:val="en-US" w:eastAsia="zh-CN"/>
              </w:rPr>
              <w:t>审核</w:t>
            </w:r>
            <w:r>
              <w:rPr>
                <w:rFonts w:hint="eastAsia"/>
                <w:szCs w:val="21"/>
              </w:rPr>
              <w:t>部、</w:t>
            </w:r>
            <w:r>
              <w:rPr>
                <w:rFonts w:hint="eastAsia"/>
                <w:szCs w:val="21"/>
                <w:lang w:val="en-US" w:eastAsia="zh-CN"/>
              </w:rPr>
              <w:t>培训</w:t>
            </w:r>
            <w:r>
              <w:rPr>
                <w:rFonts w:hint="eastAsia"/>
                <w:szCs w:val="21"/>
              </w:rPr>
              <w:t>部，提供</w:t>
            </w:r>
            <w:r>
              <w:rPr>
                <w:sz w:val="20"/>
              </w:rPr>
              <w:t>安全生产技术服务、安全评价咨询、应急救援预案咨询、劳务派遣服务（限许可范围内）</w:t>
            </w:r>
            <w:r>
              <w:rPr>
                <w:rFonts w:hint="eastAsia"/>
                <w:szCs w:val="21"/>
              </w:rPr>
              <w:t>。</w:t>
            </w:r>
          </w:p>
          <w:p>
            <w:pPr>
              <w:spacing w:line="280" w:lineRule="exact"/>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themeColor="text1"/>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w:t>
            </w:r>
            <w:r>
              <w:rPr>
                <w:rFonts w:hint="eastAsia" w:ascii="宋体" w:hAnsi="宋体"/>
              </w:rPr>
              <w:t>最</w:t>
            </w:r>
            <w:r>
              <w:rPr>
                <w:rFonts w:hint="eastAsia" w:ascii="宋体" w:hAnsi="宋体"/>
                <w:spacing w:val="-92"/>
              </w:rPr>
              <w:t xml:space="preserve"> </w:t>
            </w:r>
            <w:r>
              <w:rPr>
                <w:rFonts w:hint="eastAsia" w:ascii="宋体" w:hAnsi="宋体"/>
              </w:rPr>
              <w:t>终 消费者</w:t>
            </w:r>
            <w:r>
              <w:rPr>
                <w:rFonts w:hint="eastAsia" w:ascii="宋体" w:hAnsi="宋体"/>
                <w:szCs w:val="21"/>
              </w:rPr>
              <w:t>、业主、股东、银行、外部供应商、员工、法律法规监管机构等。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rPr>
              <w:t>采购、销售和相关职能部门通过日常例会、市场活动、现场拜访、客户调查等多种渠道和方式方法随时了解相关方的需求和期望。做为公司经营风险分析和发展机遇的可利用资源。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w:t>
            </w:r>
          </w:p>
          <w:p>
            <w:pPr>
              <w:spacing w:line="240" w:lineRule="exact"/>
              <w:rPr>
                <w:b/>
                <w:color w:val="000000" w:themeColor="text1"/>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auto"/>
              <w:ind w:firstLine="420" w:firstLineChars="200"/>
              <w:rPr>
                <w:rFonts w:ascii="宋体" w:hAnsi="宋体" w:cs="宋体"/>
                <w:szCs w:val="21"/>
              </w:rPr>
            </w:pPr>
            <w:r>
              <w:rPr>
                <w:rFonts w:hint="eastAsia" w:ascii="宋体" w:hAnsi="宋体" w:cs="宋体"/>
                <w:szCs w:val="21"/>
              </w:rPr>
              <w:t>公司的管理方针是：</w:t>
            </w:r>
          </w:p>
          <w:p>
            <w:pPr>
              <w:spacing w:line="240" w:lineRule="auto"/>
              <w:rPr>
                <w:rFonts w:ascii="宋体" w:hAnsi="宋体" w:cs="宋体"/>
                <w:szCs w:val="21"/>
              </w:rPr>
            </w:pPr>
            <w:r>
              <w:rPr>
                <w:rFonts w:hint="eastAsia" w:cs="宋体" w:asciiTheme="minorEastAsia" w:hAnsiTheme="minorEastAsia"/>
                <w:sz w:val="21"/>
                <w:szCs w:val="21"/>
              </w:rPr>
              <w:t>安全第一，质量求生存；主动服务，创新求进步；绿色环保，守法求持续；以人为本，健康求发展。</w:t>
            </w:r>
          </w:p>
          <w:p>
            <w:pPr>
              <w:spacing w:line="240" w:lineRule="auto"/>
              <w:ind w:firstLine="420" w:firstLineChars="200"/>
              <w:rPr>
                <w:b/>
                <w:color w:val="000000" w:themeColor="text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表”，按照外部环境(法律法规、市场竞争情况、市场形势、市场容量、经济形势、社会责任、产业发展等)、外部环境（企业文化、经营绩效、人员特点、组织构架、资源条件、财务风险、采购等）、利益相关方（顾客、员工、政府、社会、供方等），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其中关键过程有   </w:t>
            </w:r>
            <w:r>
              <w:rPr>
                <w:rFonts w:hint="eastAsia" w:ascii="宋体" w:hAnsi="宋体"/>
                <w:b/>
                <w:color w:val="000000" w:themeColor="text1"/>
                <w:sz w:val="20"/>
                <w:szCs w:val="20"/>
                <w:u w:val="single"/>
              </w:rPr>
              <w:t>编制</w:t>
            </w:r>
            <w:r>
              <w:rPr>
                <w:rFonts w:hint="eastAsia" w:ascii="宋体" w:hAnsi="宋体"/>
                <w:b/>
                <w:color w:val="000000" w:themeColor="text1"/>
                <w:sz w:val="20"/>
                <w:szCs w:val="20"/>
                <w:u w:val="single"/>
                <w:lang w:val="en-US" w:eastAsia="zh-CN"/>
              </w:rPr>
              <w:t>安全评价</w:t>
            </w:r>
            <w:r>
              <w:rPr>
                <w:rFonts w:hint="eastAsia" w:ascii="宋体" w:hAnsi="宋体"/>
                <w:b/>
                <w:color w:val="000000" w:themeColor="text1"/>
                <w:sz w:val="20"/>
                <w:szCs w:val="20"/>
                <w:u w:val="single"/>
              </w:rPr>
              <w:t>报告、内部审核</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无</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w:t>
            </w:r>
            <w:r>
              <w:rPr>
                <w:rFonts w:hint="eastAsia" w:ascii="宋体" w:hAnsi="宋体"/>
                <w:b/>
                <w:color w:val="000000" w:themeColor="text1"/>
                <w:sz w:val="20"/>
                <w:szCs w:val="20"/>
                <w:u w:val="single"/>
              </w:rPr>
              <w:t>公司</w:t>
            </w:r>
            <w:r>
              <w:rPr>
                <w:rFonts w:hint="eastAsia" w:ascii="宋体" w:hAnsi="宋体"/>
                <w:b/>
                <w:color w:val="000000" w:themeColor="text1"/>
                <w:sz w:val="20"/>
                <w:szCs w:val="20"/>
                <w:u w:val="single"/>
                <w:lang w:val="en-US" w:eastAsia="zh-CN"/>
              </w:rPr>
              <w:t>按照顾客和相关标准</w:t>
            </w:r>
            <w:r>
              <w:rPr>
                <w:rFonts w:hint="eastAsia" w:ascii="宋体" w:hAnsi="宋体"/>
                <w:b/>
                <w:color w:val="000000" w:themeColor="text1"/>
                <w:sz w:val="20"/>
                <w:szCs w:val="20"/>
                <w:u w:val="single"/>
              </w:rPr>
              <w:t>要求</w:t>
            </w:r>
            <w:r>
              <w:rPr>
                <w:rFonts w:hint="eastAsia" w:ascii="宋体" w:hAnsi="宋体"/>
                <w:b/>
                <w:color w:val="000000" w:themeColor="text1"/>
                <w:sz w:val="20"/>
                <w:szCs w:val="20"/>
                <w:u w:val="single"/>
                <w:lang w:val="en-US" w:eastAsia="zh-CN"/>
              </w:rPr>
              <w:t>安全评价等</w:t>
            </w:r>
            <w:r>
              <w:rPr>
                <w:rFonts w:hint="eastAsia" w:ascii="宋体" w:hAnsi="宋体"/>
                <w:b/>
                <w:color w:val="000000" w:themeColor="text1"/>
                <w:sz w:val="20"/>
                <w:szCs w:val="20"/>
                <w:u w:val="single"/>
              </w:rPr>
              <w:t xml:space="preserve">，不需要再进行设计和开发 </w:t>
            </w:r>
            <w:r>
              <w:rPr>
                <w:rFonts w:hint="eastAsia" w:ascii="宋体" w:hAnsi="宋体"/>
                <w:b/>
                <w:color w:val="000000" w:themeColor="text1"/>
                <w:sz w:val="20"/>
                <w:szCs w:val="20"/>
                <w:u w:val="single"/>
                <w:lang w:eastAsia="zh-CN"/>
              </w:rPr>
              <w:t>，</w:t>
            </w:r>
            <w:r>
              <w:rPr>
                <w:rFonts w:hint="eastAsia" w:ascii="宋体" w:hAnsi="宋体"/>
                <w:b/>
                <w:color w:val="000000" w:themeColor="text1"/>
                <w:sz w:val="20"/>
                <w:szCs w:val="20"/>
                <w:u w:val="single"/>
                <w:lang w:val="en-US" w:eastAsia="zh-CN"/>
              </w:rPr>
              <w:t>且不影响满足顾客要求和执行法律法规要求的能力和责任。</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p>
            <w:pPr>
              <w:tabs>
                <w:tab w:val="left" w:pos="540"/>
              </w:tabs>
              <w:spacing w:line="300" w:lineRule="exact"/>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pStyle w:val="4"/>
              <w:ind w:left="210" w:leftChars="100" w:firstLine="210" w:firstLineChars="100"/>
              <w:rPr>
                <w:rFonts w:ascii="宋体" w:hAnsi="宋体"/>
                <w:color w:val="000000" w:themeColor="text1"/>
                <w:szCs w:val="21"/>
              </w:rPr>
            </w:pPr>
            <w:r>
              <w:rPr>
                <w:rFonts w:hint="eastAsia" w:ascii="宋体" w:hAnsi="宋体"/>
                <w:color w:val="000000" w:themeColor="text1"/>
                <w:szCs w:val="21"/>
              </w:rPr>
              <w:t>识别了办公、</w:t>
            </w:r>
            <w:r>
              <w:rPr>
                <w:rFonts w:hint="eastAsia" w:ascii="宋体" w:hAnsi="宋体"/>
                <w:color w:val="000000" w:themeColor="text1"/>
                <w:szCs w:val="21"/>
                <w:lang w:val="en-US" w:eastAsia="zh-CN"/>
              </w:rPr>
              <w:t>安全</w:t>
            </w:r>
            <w:r>
              <w:rPr>
                <w:rFonts w:hint="eastAsia" w:ascii="宋体" w:hAnsi="宋体"/>
                <w:color w:val="000000" w:themeColor="text1"/>
                <w:szCs w:val="21"/>
              </w:rPr>
              <w:t>评价、咨询、采购、销售等过程的环境因素，动态更新，评价出的重要环境因素包括：潜在火灾、固废排放等。</w:t>
            </w:r>
          </w:p>
          <w:p>
            <w:pPr>
              <w:pStyle w:val="4"/>
              <w:ind w:firstLine="420" w:firstLineChars="200"/>
              <w:rPr>
                <w:rFonts w:ascii="宋体" w:hAnsi="宋体"/>
                <w:color w:val="000000" w:themeColor="text1"/>
                <w:szCs w:val="21"/>
              </w:rPr>
            </w:pPr>
            <w:r>
              <w:rPr>
                <w:rFonts w:hint="eastAsia" w:ascii="宋体" w:hAnsi="宋体"/>
                <w:color w:val="000000" w:themeColor="text1"/>
                <w:szCs w:val="21"/>
              </w:rPr>
              <w:t>在采购、咨询、销售、交付、日常办公等过程能使用生命周期观点和方法识别环境因素并加以管理。</w:t>
            </w:r>
          </w:p>
          <w:p>
            <w:pPr>
              <w:spacing w:line="300" w:lineRule="exact"/>
              <w:rPr>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4"/>
              <w:ind w:firstLine="420" w:firstLineChars="200"/>
              <w:rPr>
                <w:rFonts w:ascii="宋体" w:hAnsi="宋体"/>
                <w:color w:val="000000" w:themeColor="text1"/>
                <w:szCs w:val="21"/>
              </w:rPr>
            </w:pPr>
            <w:r>
              <w:rPr>
                <w:rFonts w:hint="eastAsia" w:ascii="宋体" w:hAnsi="宋体"/>
                <w:color w:val="000000" w:themeColor="text1"/>
                <w:szCs w:val="21"/>
              </w:rPr>
              <w:t>识别了办公、</w:t>
            </w:r>
            <w:r>
              <w:rPr>
                <w:rFonts w:hint="eastAsia" w:ascii="宋体" w:hAnsi="宋体"/>
                <w:color w:val="000000" w:themeColor="text1"/>
                <w:szCs w:val="21"/>
                <w:lang w:val="en-US" w:eastAsia="zh-CN"/>
              </w:rPr>
              <w:t>安全</w:t>
            </w:r>
            <w:r>
              <w:rPr>
                <w:rFonts w:hint="eastAsia" w:ascii="宋体" w:hAnsi="宋体"/>
                <w:color w:val="000000" w:themeColor="text1"/>
                <w:szCs w:val="21"/>
              </w:rPr>
              <w:t>评价、咨询、采购、销售等过程的危险源，动态更新，确定的不可接受风险包括：触电、火灾等。</w:t>
            </w:r>
          </w:p>
          <w:p>
            <w:pPr>
              <w:pStyle w:val="4"/>
              <w:ind w:firstLine="420" w:firstLineChars="200"/>
              <w:rPr>
                <w:rFonts w:ascii="宋体" w:hAnsi="宋体"/>
                <w:color w:val="000000" w:themeColor="text1"/>
                <w:szCs w:val="21"/>
              </w:rPr>
            </w:pPr>
            <w:r>
              <w:rPr>
                <w:rFonts w:hint="eastAsia"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00" w:lineRule="exact"/>
              <w:rPr>
                <w:b/>
                <w:color w:val="000000" w:themeColor="text1"/>
                <w:sz w:val="20"/>
                <w:szCs w:val="20"/>
              </w:rPr>
            </w:pPr>
            <w:r>
              <w:rPr>
                <w:rFonts w:hint="eastAsia" w:ascii="宋体" w:hAnsi="宋体"/>
                <w:color w:val="000000" w:themeColor="text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MS Mincho" w:hAnsi="MS Mincho" w:eastAsia="MS Mincho" w:cs="MS Mincho"/>
                <w:b/>
                <w:color w:val="000000" w:themeColor="text1"/>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MS Mincho" w:hAnsi="MS Mincho" w:eastAsia="MS Mincho" w:cs="MS Mincho"/>
                <w:b/>
                <w:color w:val="000000" w:themeColor="text1"/>
                <w:szCs w:val="21"/>
              </w:rPr>
              <w:t>☑</w:t>
            </w:r>
            <w:r>
              <w:rPr>
                <w:rFonts w:hint="eastAsia" w:ascii="宋体" w:hAnsi="宋体"/>
                <w:b/>
                <w:color w:val="000000" w:themeColor="text1"/>
                <w:szCs w:val="21"/>
              </w:rPr>
              <w:t>产品/服务</w:t>
            </w:r>
            <w:r>
              <w:rPr>
                <w:rFonts w:hint="eastAsia" w:ascii="MS Mincho" w:hAnsi="MS Mincho" w:eastAsia="MS Mincho" w:cs="MS Mincho"/>
                <w:b/>
                <w:color w:val="000000" w:themeColor="text1"/>
                <w:szCs w:val="21"/>
              </w:rPr>
              <w:t>☑</w:t>
            </w:r>
            <w:r>
              <w:rPr>
                <w:rFonts w:hint="eastAsia" w:ascii="宋体" w:hAnsi="宋体"/>
                <w:b/>
                <w:color w:val="000000" w:themeColor="text1"/>
                <w:szCs w:val="21"/>
              </w:rPr>
              <w:t>环境因素</w:t>
            </w:r>
            <w:r>
              <w:rPr>
                <w:rFonts w:hint="eastAsia" w:ascii="MS Mincho" w:hAnsi="MS Mincho" w:eastAsia="MS Mincho" w:cs="MS Mincho"/>
                <w:b/>
                <w:color w:val="000000" w:themeColor="text1"/>
                <w:szCs w:val="21"/>
              </w:rPr>
              <w:t>☑</w:t>
            </w:r>
            <w:r>
              <w:rPr>
                <w:rFonts w:hint="eastAsia" w:ascii="宋体" w:hAnsi="宋体"/>
                <w:b/>
                <w:color w:val="000000" w:themeColor="text1"/>
                <w:szCs w:val="21"/>
              </w:rPr>
              <w:t>危险源，</w:t>
            </w:r>
            <w:r>
              <w:rPr>
                <w:rFonts w:hint="eastAsia" w:ascii="MS Mincho" w:hAnsi="MS Mincho" w:eastAsia="MS Mincho" w:cs="MS Mincho"/>
                <w:b/>
                <w:color w:val="000000" w:themeColor="text1"/>
                <w:szCs w:val="21"/>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spacing w:line="240" w:lineRule="auto"/>
              <w:rPr>
                <w:rFonts w:cs="宋体" w:asciiTheme="minorEastAsia" w:hAnsiTheme="minorEastAsia"/>
                <w:b w:val="0"/>
                <w:bCs/>
                <w:sz w:val="21"/>
                <w:szCs w:val="21"/>
              </w:rPr>
            </w:pPr>
            <w:r>
              <w:rPr>
                <w:rFonts w:hint="eastAsia" w:cs="宋体" w:asciiTheme="minorEastAsia" w:hAnsiTheme="minorEastAsia"/>
                <w:b w:val="0"/>
                <w:bCs/>
                <w:sz w:val="21"/>
                <w:szCs w:val="21"/>
              </w:rPr>
              <w:t>质量目标：</w:t>
            </w:r>
          </w:p>
          <w:p>
            <w:pPr>
              <w:spacing w:beforeLines="50" w:line="240" w:lineRule="auto"/>
              <w:rPr>
                <w:rFonts w:cs="宋体" w:asciiTheme="minorEastAsia" w:hAnsiTheme="minorEastAsia"/>
                <w:b w:val="0"/>
                <w:bCs/>
                <w:sz w:val="21"/>
                <w:szCs w:val="21"/>
              </w:rPr>
            </w:pPr>
            <w:r>
              <w:rPr>
                <w:rFonts w:hint="eastAsia" w:cs="宋体" w:asciiTheme="minorEastAsia" w:hAnsiTheme="minorEastAsia"/>
                <w:b w:val="0"/>
                <w:bCs/>
                <w:sz w:val="21"/>
                <w:szCs w:val="21"/>
              </w:rPr>
              <w:t>顾客满意度95%以上；</w:t>
            </w:r>
          </w:p>
          <w:p>
            <w:pPr>
              <w:spacing w:beforeLines="50" w:line="240" w:lineRule="auto"/>
              <w:rPr>
                <w:rFonts w:cs="宋体" w:asciiTheme="minorEastAsia" w:hAnsiTheme="minorEastAsia"/>
                <w:b w:val="0"/>
                <w:bCs/>
                <w:sz w:val="21"/>
                <w:szCs w:val="21"/>
              </w:rPr>
            </w:pPr>
            <w:r>
              <w:rPr>
                <w:rFonts w:hint="eastAsia" w:cs="宋体" w:asciiTheme="minorEastAsia" w:hAnsiTheme="minorEastAsia"/>
                <w:b w:val="0"/>
                <w:bCs/>
                <w:sz w:val="21"/>
                <w:szCs w:val="21"/>
              </w:rPr>
              <w:t>劳务派遣及时率100%</w:t>
            </w:r>
          </w:p>
          <w:p>
            <w:pPr>
              <w:spacing w:beforeLines="50" w:line="240" w:lineRule="auto"/>
              <w:rPr>
                <w:rFonts w:asciiTheme="minorEastAsia" w:hAnsiTheme="minorEastAsia"/>
                <w:b w:val="0"/>
                <w:bCs/>
                <w:sz w:val="21"/>
                <w:szCs w:val="21"/>
              </w:rPr>
            </w:pPr>
            <w:r>
              <w:rPr>
                <w:rFonts w:hint="eastAsia" w:asciiTheme="minorEastAsia" w:hAnsiTheme="minorEastAsia"/>
                <w:b w:val="0"/>
                <w:bCs/>
                <w:sz w:val="21"/>
                <w:szCs w:val="21"/>
              </w:rPr>
              <w:t>顾客投诉及时处理率100%</w:t>
            </w:r>
          </w:p>
          <w:p>
            <w:pPr>
              <w:spacing w:beforeLines="50" w:line="240" w:lineRule="auto"/>
              <w:rPr>
                <w:rFonts w:cs="宋体" w:asciiTheme="minorEastAsia" w:hAnsiTheme="minorEastAsia"/>
                <w:b w:val="0"/>
                <w:bCs/>
                <w:sz w:val="21"/>
                <w:szCs w:val="21"/>
              </w:rPr>
            </w:pPr>
            <w:r>
              <w:rPr>
                <w:rFonts w:hint="eastAsia" w:cs="宋体" w:asciiTheme="minorEastAsia" w:hAnsiTheme="minorEastAsia"/>
                <w:b w:val="0"/>
                <w:bCs/>
                <w:sz w:val="21"/>
                <w:szCs w:val="21"/>
              </w:rPr>
              <w:t>环境目标</w:t>
            </w:r>
          </w:p>
          <w:p>
            <w:pPr>
              <w:pStyle w:val="5"/>
              <w:spacing w:line="240" w:lineRule="auto"/>
              <w:rPr>
                <w:rFonts w:cs="宋体" w:asciiTheme="minorEastAsia" w:hAnsiTheme="minorEastAsia"/>
                <w:b w:val="0"/>
                <w:bCs/>
                <w:kern w:val="2"/>
                <w:sz w:val="21"/>
                <w:szCs w:val="21"/>
              </w:rPr>
            </w:pPr>
            <w:r>
              <w:rPr>
                <w:rFonts w:hint="eastAsia" w:cs="宋体" w:asciiTheme="minorEastAsia" w:hAnsiTheme="minorEastAsia"/>
                <w:b w:val="0"/>
                <w:bCs/>
                <w:kern w:val="2"/>
                <w:sz w:val="21"/>
                <w:szCs w:val="21"/>
              </w:rPr>
              <w:t>火灾、爆炸事故为零</w:t>
            </w:r>
          </w:p>
          <w:p>
            <w:pPr>
              <w:pStyle w:val="5"/>
              <w:spacing w:line="240" w:lineRule="auto"/>
              <w:rPr>
                <w:rFonts w:cs="宋体" w:asciiTheme="minorEastAsia" w:hAnsiTheme="minorEastAsia"/>
                <w:b w:val="0"/>
                <w:bCs/>
                <w:kern w:val="2"/>
                <w:sz w:val="21"/>
                <w:szCs w:val="21"/>
              </w:rPr>
            </w:pPr>
            <w:r>
              <w:rPr>
                <w:rFonts w:hint="eastAsia" w:cs="宋体" w:asciiTheme="minorEastAsia" w:hAnsiTheme="minorEastAsia"/>
                <w:b w:val="0"/>
                <w:bCs/>
                <w:kern w:val="2"/>
                <w:sz w:val="21"/>
                <w:szCs w:val="21"/>
              </w:rPr>
              <w:t>固体废弃物100%分类收集</w:t>
            </w:r>
          </w:p>
          <w:p>
            <w:pPr>
              <w:spacing w:beforeLines="50" w:line="240" w:lineRule="auto"/>
              <w:rPr>
                <w:rFonts w:cs="宋体" w:asciiTheme="minorEastAsia" w:hAnsiTheme="minorEastAsia"/>
                <w:b w:val="0"/>
                <w:bCs/>
                <w:sz w:val="21"/>
                <w:szCs w:val="21"/>
              </w:rPr>
            </w:pPr>
            <w:r>
              <w:rPr>
                <w:rFonts w:hint="eastAsia" w:cs="宋体" w:asciiTheme="minorEastAsia" w:hAnsiTheme="minorEastAsia"/>
                <w:b w:val="0"/>
                <w:bCs/>
                <w:sz w:val="21"/>
                <w:szCs w:val="21"/>
              </w:rPr>
              <w:t>职业健康安全管理目标：</w:t>
            </w:r>
          </w:p>
          <w:p>
            <w:pPr>
              <w:pStyle w:val="5"/>
              <w:spacing w:line="240" w:lineRule="auto"/>
              <w:rPr>
                <w:rFonts w:cs="宋体" w:asciiTheme="minorEastAsia" w:hAnsiTheme="minorEastAsia"/>
                <w:b w:val="0"/>
                <w:bCs/>
                <w:kern w:val="2"/>
                <w:sz w:val="21"/>
                <w:szCs w:val="21"/>
              </w:rPr>
            </w:pPr>
            <w:r>
              <w:rPr>
                <w:rFonts w:hint="eastAsia" w:cs="宋体" w:asciiTheme="minorEastAsia" w:hAnsiTheme="minorEastAsia"/>
                <w:b w:val="0"/>
                <w:bCs/>
                <w:kern w:val="2"/>
                <w:sz w:val="21"/>
                <w:szCs w:val="21"/>
              </w:rPr>
              <w:t>杜绝各类重伤以上事故，轻伤事故少于3件/年。</w:t>
            </w:r>
          </w:p>
          <w:p>
            <w:pPr>
              <w:rPr>
                <w:rFonts w:ascii="宋体" w:cs="宋体"/>
                <w:szCs w:val="21"/>
              </w:rPr>
            </w:pPr>
            <w:r>
              <w:rPr>
                <w:rFonts w:hint="eastAsia" w:ascii="宋体" w:hAnsi="宋体" w:cs="宋体"/>
                <w:szCs w:val="21"/>
              </w:rPr>
              <w:t>提供《目标指标和管理方案》《目标指标和管理方案考核表》</w:t>
            </w:r>
          </w:p>
          <w:p>
            <w:pPr>
              <w:spacing w:line="240" w:lineRule="exact"/>
              <w:rPr>
                <w:rFonts w:ascii="宋体" w:hAnsi="宋体"/>
                <w:b/>
                <w:color w:val="000000" w:themeColor="text1"/>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宋体" w:hAnsi="宋体" w:cs="宋体"/>
                <w:szCs w:val="21"/>
              </w:rPr>
              <w:t xml:space="preserve"> </w:t>
            </w:r>
            <w:r>
              <w:rPr>
                <w:rFonts w:hint="eastAsia" w:ascii="宋体" w:hAnsi="宋体" w:cs="宋体"/>
                <w:szCs w:val="21"/>
              </w:rPr>
              <w:t>A</w:t>
            </w:r>
            <w:r>
              <w:rPr>
                <w:rFonts w:hint="eastAsia" w:ascii="宋体" w:hAnsi="宋体" w:cs="宋体"/>
                <w:szCs w:val="21"/>
                <w:lang w:val="en-US" w:eastAsia="zh-CN"/>
              </w:rPr>
              <w:t>0</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21</w:t>
            </w:r>
            <w:r>
              <w:rPr>
                <w:rFonts w:ascii="宋体" w:hAnsi="宋体" w:cs="宋体"/>
                <w:szCs w:val="21"/>
              </w:rPr>
              <w:t>.</w:t>
            </w:r>
            <w:r>
              <w:rPr>
                <w:rFonts w:hint="eastAsia" w:ascii="宋体" w:hAnsi="宋体" w:cs="宋体"/>
                <w:szCs w:val="21"/>
                <w:lang w:val="en-US" w:eastAsia="zh-CN"/>
              </w:rPr>
              <w:t>1</w:t>
            </w:r>
            <w:r>
              <w:rPr>
                <w:rFonts w:ascii="宋体" w:hAnsi="宋体" w:cs="宋体"/>
                <w:szCs w:val="21"/>
              </w:rPr>
              <w:t>.</w:t>
            </w:r>
            <w:r>
              <w:rPr>
                <w:rFonts w:hint="eastAsia" w:ascii="宋体" w:hAnsi="宋体" w:cs="宋体"/>
                <w:szCs w:val="21"/>
                <w:lang w:val="en-US" w:eastAsia="zh-CN"/>
              </w:rPr>
              <w:t>5</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21</w:t>
            </w:r>
            <w:r>
              <w:rPr>
                <w:rFonts w:ascii="宋体" w:hAnsi="宋体" w:cs="宋体"/>
                <w:szCs w:val="21"/>
              </w:rPr>
              <w:t>.</w:t>
            </w:r>
            <w:r>
              <w:rPr>
                <w:rFonts w:hint="eastAsia" w:ascii="宋体" w:hAnsi="宋体" w:cs="宋体"/>
                <w:szCs w:val="21"/>
                <w:lang w:val="en-US" w:eastAsia="zh-CN"/>
              </w:rPr>
              <w:t>1</w:t>
            </w:r>
            <w:r>
              <w:rPr>
                <w:rFonts w:ascii="宋体" w:hAnsi="宋体" w:cs="宋体"/>
                <w:szCs w:val="21"/>
              </w:rPr>
              <w:t>.</w:t>
            </w:r>
            <w:r>
              <w:rPr>
                <w:rFonts w:hint="eastAsia" w:ascii="宋体" w:hAnsi="宋体" w:cs="宋体"/>
                <w:szCs w:val="21"/>
                <w:lang w:val="en-US" w:eastAsia="zh-CN"/>
              </w:rPr>
              <w:t>5</w:t>
            </w:r>
          </w:p>
          <w:p>
            <w:pPr>
              <w:rPr>
                <w:rFonts w:ascii="宋体" w:cs="宋体"/>
                <w:szCs w:val="21"/>
              </w:rPr>
            </w:pPr>
            <w:r>
              <w:rPr>
                <w:rFonts w:ascii="宋体" w:hAnsi="宋体" w:cs="宋体"/>
                <w:szCs w:val="21"/>
              </w:rPr>
              <w:t>2.</w:t>
            </w:r>
            <w:r>
              <w:rPr>
                <w:rFonts w:hint="eastAsia" w:ascii="宋体" w:hAnsi="宋体" w:cs="宋体"/>
                <w:szCs w:val="21"/>
              </w:rPr>
              <w:t>程序文件，包括标准要求的形成文件的信息。</w:t>
            </w:r>
          </w:p>
          <w:p>
            <w:pPr>
              <w:pStyle w:val="3"/>
              <w:tabs>
                <w:tab w:val="left" w:pos="3300"/>
                <w:tab w:val="left" w:pos="5160"/>
                <w:tab w:val="clear" w:pos="3510"/>
                <w:tab w:val="clear" w:pos="5580"/>
              </w:tabs>
              <w:rPr>
                <w:rFonts w:ascii="宋体" w:hAnsi="宋体"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查行政部管理手册、管理制度等文件均保管良好，为有效版本，有受控标识。</w:t>
            </w:r>
          </w:p>
          <w:p>
            <w:pPr>
              <w:ind w:firstLine="420" w:firstLineChars="200"/>
            </w:pPr>
            <w:r>
              <w:rPr>
                <w:rFonts w:hint="eastAsia"/>
              </w:rPr>
              <w:t>行政部负责收集有关产品的国家标准、行业标准的最新版本，分发到相关部门使用。</w:t>
            </w:r>
          </w:p>
          <w:p>
            <w:r>
              <w:rPr>
                <w:rFonts w:hint="eastAsia"/>
              </w:rPr>
              <w:t>以上外来文件保管良好，均为有效版本。</w:t>
            </w:r>
          </w:p>
          <w:p>
            <w:pPr>
              <w:ind w:firstLine="420" w:firstLineChars="200"/>
            </w:pPr>
            <w:r>
              <w:rPr>
                <w:rFonts w:hint="eastAsia"/>
              </w:rPr>
              <w:t>查见《记录一览表》，内容包括：序号、记录名称、编号、保存期、使用部门等。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val="en-US" w:eastAsia="zh-CN"/>
              </w:rPr>
              <w:t>为评价</w:t>
            </w:r>
            <w:r>
              <w:rPr>
                <w:rFonts w:hint="eastAsia" w:ascii="宋体" w:hAnsi="宋体"/>
                <w:szCs w:val="21"/>
              </w:rPr>
              <w:t>、咨询、</w:t>
            </w:r>
            <w:r>
              <w:rPr>
                <w:rFonts w:hint="eastAsia" w:ascii="宋体" w:hAnsi="宋体"/>
                <w:szCs w:val="21"/>
                <w:lang w:val="en-US" w:eastAsia="zh-CN"/>
              </w:rPr>
              <w:t>培训</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台式电脑、打印机、复印机、投影机、WIFI等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ind w:firstLine="400" w:firstLineChars="200"/>
              <w:rPr>
                <w:rFonts w:ascii="宋体" w:hAnsi="宋体"/>
                <w:color w:val="000000" w:themeColor="text1"/>
                <w:sz w:val="20"/>
                <w:szCs w:val="20"/>
              </w:rPr>
            </w:pPr>
            <w:r>
              <w:rPr>
                <w:rFonts w:hint="eastAsia" w:ascii="宋体" w:hAnsi="宋体"/>
                <w:color w:val="000000" w:themeColor="text1"/>
                <w:sz w:val="20"/>
                <w:szCs w:val="20"/>
                <w:lang w:val="en-US" w:eastAsia="zh-CN"/>
              </w:rPr>
              <w:t>安全</w:t>
            </w:r>
            <w:r>
              <w:rPr>
                <w:rFonts w:hint="eastAsia" w:ascii="宋体" w:hAnsi="宋体"/>
                <w:color w:val="000000" w:themeColor="text1"/>
                <w:sz w:val="20"/>
                <w:szCs w:val="20"/>
              </w:rPr>
              <w:t>评价技术咨询服务、办公过程对环境要求一般，无特殊要求，办公室环境卫生较好。</w:t>
            </w:r>
          </w:p>
          <w:p>
            <w:pPr>
              <w:ind w:firstLine="400" w:firstLineChars="200"/>
              <w:rPr>
                <w:rFonts w:ascii="宋体" w:hAnsi="宋体"/>
                <w:color w:val="000000" w:themeColor="text1"/>
                <w:sz w:val="20"/>
                <w:szCs w:val="20"/>
              </w:rPr>
            </w:pPr>
            <w:r>
              <w:rPr>
                <w:rFonts w:hint="eastAsia" w:ascii="宋体" w:hAnsi="宋体"/>
                <w:color w:val="000000" w:themeColor="text1"/>
                <w:sz w:val="20"/>
                <w:szCs w:val="20"/>
              </w:rPr>
              <w:t>视频现场巡视：办公环境光照、温湿度适宜，通风良好，电路布线合理、电气插座完整，未见破损，办公场所物品摆放整齐、有序，未见随意乱放私人物品的情况，未见用电不当等安全隐患及不良影响现象。</w:t>
            </w:r>
          </w:p>
          <w:p>
            <w:pPr>
              <w:ind w:firstLine="400" w:firstLineChars="200"/>
              <w:rPr>
                <w:rFonts w:ascii="宋体" w:hAnsi="宋体"/>
                <w:color w:val="000000" w:themeColor="text1"/>
                <w:sz w:val="20"/>
                <w:szCs w:val="20"/>
              </w:rPr>
            </w:pPr>
            <w:r>
              <w:rPr>
                <w:rFonts w:hint="eastAsia" w:ascii="宋体" w:hAnsi="宋体"/>
                <w:color w:val="000000" w:themeColor="text1"/>
                <w:sz w:val="20"/>
                <w:szCs w:val="20"/>
              </w:rPr>
              <w:t>公司定期举行旅游活动、体检，带薪休假等，已缓解员工的心理压力、过度疲劳等。</w:t>
            </w:r>
          </w:p>
          <w:p>
            <w:pPr>
              <w:ind w:firstLine="400" w:firstLineChars="200"/>
              <w:rPr>
                <w:rFonts w:ascii="宋体" w:hAnsi="宋体"/>
                <w:color w:val="000000" w:themeColor="text1"/>
                <w:sz w:val="20"/>
                <w:szCs w:val="20"/>
              </w:rPr>
            </w:pPr>
            <w:r>
              <w:rPr>
                <w:rFonts w:hint="eastAsia" w:ascii="宋体" w:hAnsi="宋体"/>
                <w:color w:val="000000" w:themeColor="text1"/>
                <w:sz w:val="20"/>
                <w:szCs w:val="20"/>
              </w:rPr>
              <w:t>确定并提供了产品要求所需的工作环境，工作环境适宜，现有工作环境能满足提供合格的环境影响评价技术咨询服务的需要。</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ind w:firstLine="400" w:firstLineChars="200"/>
              <w:rPr>
                <w:rFonts w:ascii="宋体" w:hAnsi="宋体"/>
                <w:color w:val="000000" w:themeColor="text1"/>
                <w:sz w:val="20"/>
                <w:szCs w:val="20"/>
              </w:rPr>
            </w:pPr>
            <w:r>
              <w:rPr>
                <w:rFonts w:ascii="宋体" w:hAnsi="宋体"/>
                <w:color w:val="000000" w:themeColor="text1"/>
                <w:sz w:val="20"/>
                <w:szCs w:val="20"/>
              </w:rPr>
              <w:t>公司进行环境影响评价、技术咨询服务活动，涉及的监视和测量资源，主要是使用记录表单（如《</w:t>
            </w:r>
            <w:r>
              <w:rPr>
                <w:rFonts w:hint="eastAsia" w:ascii="宋体" w:hAnsi="宋体"/>
                <w:color w:val="000000" w:themeColor="text1"/>
                <w:sz w:val="20"/>
                <w:szCs w:val="20"/>
              </w:rPr>
              <w:t>内审检查表</w:t>
            </w:r>
            <w:r>
              <w:rPr>
                <w:rFonts w:ascii="宋体" w:hAnsi="宋体"/>
                <w:color w:val="000000" w:themeColor="text1"/>
                <w:sz w:val="20"/>
                <w:szCs w:val="20"/>
              </w:rPr>
              <w:t>》、《</w:t>
            </w:r>
            <w:r>
              <w:rPr>
                <w:rFonts w:hint="eastAsia" w:ascii="宋体" w:hAnsi="宋体"/>
                <w:color w:val="000000" w:themeColor="text1"/>
                <w:sz w:val="20"/>
                <w:szCs w:val="20"/>
              </w:rPr>
              <w:t>客户回访记录表</w:t>
            </w:r>
            <w:r>
              <w:rPr>
                <w:rFonts w:ascii="宋体" w:hAnsi="宋体"/>
                <w:color w:val="000000" w:themeColor="text1"/>
                <w:sz w:val="20"/>
                <w:szCs w:val="20"/>
              </w:rPr>
              <w:t>》、《</w:t>
            </w:r>
            <w:r>
              <w:rPr>
                <w:rFonts w:hint="eastAsia" w:ascii="宋体" w:hAnsi="宋体"/>
                <w:color w:val="000000" w:themeColor="text1"/>
                <w:sz w:val="20"/>
                <w:szCs w:val="20"/>
              </w:rPr>
              <w:t>顾客满意度调查记录表</w:t>
            </w:r>
            <w:r>
              <w:rPr>
                <w:rFonts w:ascii="宋体" w:hAnsi="宋体"/>
                <w:color w:val="000000" w:themeColor="text1"/>
                <w:sz w:val="20"/>
                <w:szCs w:val="20"/>
              </w:rPr>
              <w:t>》等等）对体系运行、过程、产品、服务的状态进行监视；这些表单有版本控制，定期评审，按实际需要进行更新。</w:t>
            </w:r>
          </w:p>
          <w:p>
            <w:pPr>
              <w:ind w:firstLine="400" w:firstLineChars="200"/>
              <w:rPr>
                <w:rFonts w:ascii="宋体" w:hAnsi="宋体"/>
                <w:b/>
                <w:color w:val="000000" w:themeColor="text1"/>
                <w:sz w:val="20"/>
                <w:szCs w:val="20"/>
              </w:rPr>
            </w:pPr>
            <w:r>
              <w:rPr>
                <w:rFonts w:hint="eastAsia" w:ascii="宋体" w:hAnsi="宋体"/>
                <w:color w:val="000000" w:themeColor="text1"/>
                <w:sz w:val="20"/>
                <w:szCs w:val="20"/>
                <w:lang w:val="en-US" w:eastAsia="zh-CN"/>
              </w:rPr>
              <w:t>无外包过程</w:t>
            </w:r>
            <w:r>
              <w:rPr>
                <w:rFonts w:ascii="宋体" w:hAnsi="宋体"/>
                <w:color w:val="000000" w:themeColor="text1"/>
                <w:sz w:val="20"/>
                <w:szCs w:val="20"/>
              </w:rPr>
              <w:t>，公司未使用测量设备；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400" w:firstLineChars="200"/>
              <w:rPr>
                <w:rFonts w:ascii="宋体" w:hAnsi="宋体"/>
                <w:b/>
                <w:color w:val="000000" w:themeColor="text1"/>
                <w:sz w:val="20"/>
                <w:szCs w:val="20"/>
              </w:rPr>
            </w:pPr>
            <w:r>
              <w:rPr>
                <w:rFonts w:hint="eastAsia" w:ascii="宋体" w:hAnsi="宋体"/>
                <w:color w:val="000000" w:themeColor="text1"/>
                <w:sz w:val="20"/>
                <w:szCs w:val="20"/>
              </w:rPr>
              <w:t>企业运行过程所需的知识从内部来源获取的有：公司咨询技术人员、销售等办公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cs="宋体"/>
                <w:bCs/>
                <w:szCs w:val="21"/>
              </w:rPr>
              <w:t>环保设备配置</w:t>
            </w:r>
            <w:r>
              <w:rPr>
                <w:rFonts w:ascii="宋体" w:hAnsi="宋体" w:cs="宋体"/>
                <w:bCs/>
                <w:szCs w:val="21"/>
              </w:rPr>
              <w:t>:</w:t>
            </w:r>
            <w:r>
              <w:rPr>
                <w:rFonts w:hint="eastAsia" w:ascii="宋体" w:hAnsi="宋体" w:cs="宋体"/>
                <w:szCs w:val="21"/>
              </w:rPr>
              <w:t>垃圾桶</w:t>
            </w:r>
            <w:r>
              <w:rPr>
                <w:rFonts w:hint="eastAsia" w:ascii="宋体" w:hAnsi="宋体" w:cs="宋体"/>
                <w:bCs/>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r>
              <w:rPr>
                <w:rFonts w:hint="eastAsia" w:ascii="宋体" w:hAnsi="宋体" w:cs="宋体"/>
                <w:bCs/>
                <w:szCs w:val="21"/>
              </w:rPr>
              <w:t>安全设施配置</w:t>
            </w:r>
            <w:r>
              <w:rPr>
                <w:rFonts w:ascii="宋体" w:hAnsi="宋体" w:cs="宋体"/>
                <w:bCs/>
                <w:szCs w:val="21"/>
              </w:rPr>
              <w:t>:</w:t>
            </w:r>
            <w:r>
              <w:rPr>
                <w:rFonts w:hint="eastAsia" w:ascii="宋体" w:hAnsi="宋体" w:cs="宋体"/>
                <w:bCs/>
                <w:szCs w:val="21"/>
              </w:rPr>
              <w:t>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p>
          <w:p>
            <w:pPr>
              <w:spacing w:line="300" w:lineRule="exact"/>
              <w:ind w:left="1"/>
              <w:rPr>
                <w:b/>
                <w:color w:val="000000" w:themeColor="text1"/>
                <w:sz w:val="20"/>
                <w:szCs w:val="20"/>
              </w:rPr>
            </w:pPr>
            <w:r>
              <w:rPr>
                <w:rFonts w:hint="eastAsia" w:ascii="宋体" w:hAnsi="宋体"/>
                <w:szCs w:val="22"/>
                <w:u w:val="single"/>
              </w:rPr>
              <w:t>根据组织宗旨制定了管理体系方针，进行了有效沟通，在管理评审时进行评审，</w:t>
            </w:r>
            <w:r>
              <w:rPr>
                <w:rFonts w:ascii="宋体" w:hAnsi="宋体"/>
                <w:szCs w:val="22"/>
                <w:u w:val="single"/>
              </w:rPr>
              <w:t>符合要求</w:t>
            </w:r>
            <w:r>
              <w:rPr>
                <w:rFonts w:hint="eastAsia" w:ascii="宋体" w:hAnsi="宋体"/>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内部沟通的情况：内部沟通方式：文件、开会、微信等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内部沟通的效果：有效</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
                <w:color w:val="000000"/>
                <w:sz w:val="20"/>
                <w:szCs w:val="20"/>
              </w:rPr>
              <w:t>顾客满意度评价、合同、及时性等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楷体_GB2312" w:eastAsia="楷体_GB2312"/>
                <w:b/>
                <w:color w:val="000000"/>
                <w:sz w:val="20"/>
                <w:szCs w:val="20"/>
              </w:rPr>
              <w:t>告之员工和外来人员并张贴警示标记。</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OHSMS事务代表协商和交流的情况（OHSMS填写）：告之员工谁是OHSMS事务代表，参与公司的职业健康安全事务。</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宋体" w:hAnsi="宋体"/>
                <w:sz w:val="20"/>
                <w:szCs w:val="20"/>
              </w:rPr>
              <w:t>与承包方就影响他们的职业健康安全变更进行协商并确保与相关的外部相关方就有关的职业健康安全事务进行协商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color w:val="000000"/>
                <w:sz w:val="20"/>
                <w:szCs w:val="20"/>
              </w:rPr>
            </w:pPr>
            <w:r>
              <w:rPr>
                <w:rFonts w:hint="eastAsia"/>
                <w:color w:val="000000"/>
                <w:sz w:val="20"/>
                <w:szCs w:val="20"/>
              </w:rPr>
              <w:t>公司依据客户需求，咨询进行</w:t>
            </w:r>
            <w:r>
              <w:rPr>
                <w:rFonts w:hint="eastAsia"/>
                <w:color w:val="000000"/>
                <w:sz w:val="20"/>
                <w:szCs w:val="20"/>
                <w:lang w:val="en-US" w:eastAsia="zh-CN"/>
              </w:rPr>
              <w:t>安全</w:t>
            </w:r>
            <w:r>
              <w:rPr>
                <w:rFonts w:hint="eastAsia"/>
                <w:color w:val="000000"/>
                <w:sz w:val="20"/>
                <w:szCs w:val="20"/>
              </w:rPr>
              <w:t>评价、咨询技术服务，接到合同后召开会议，进行</w:t>
            </w:r>
            <w:r>
              <w:rPr>
                <w:rFonts w:hint="eastAsia"/>
                <w:color w:val="000000"/>
                <w:sz w:val="20"/>
                <w:szCs w:val="20"/>
                <w:lang w:val="en-US" w:eastAsia="zh-CN"/>
              </w:rPr>
              <w:t>安全</w:t>
            </w:r>
            <w:r>
              <w:rPr>
                <w:rFonts w:hint="eastAsia"/>
                <w:color w:val="000000"/>
                <w:sz w:val="20"/>
                <w:szCs w:val="20"/>
              </w:rPr>
              <w:t>评价、调查、编制</w:t>
            </w:r>
            <w:r>
              <w:rPr>
                <w:rFonts w:hint="eastAsia"/>
                <w:color w:val="000000"/>
                <w:sz w:val="20"/>
                <w:szCs w:val="20"/>
                <w:lang w:val="en-US" w:eastAsia="zh-CN"/>
              </w:rPr>
              <w:t>安全</w:t>
            </w:r>
            <w:r>
              <w:rPr>
                <w:rFonts w:hint="eastAsia"/>
                <w:color w:val="000000"/>
                <w:sz w:val="20"/>
                <w:szCs w:val="20"/>
              </w:rPr>
              <w:t>评价报告</w:t>
            </w:r>
            <w:r>
              <w:rPr>
                <w:rFonts w:hint="eastAsia"/>
                <w:color w:val="000000"/>
                <w:sz w:val="20"/>
                <w:szCs w:val="20"/>
                <w:lang w:val="en-US" w:eastAsia="zh-CN"/>
              </w:rPr>
              <w:t>等</w:t>
            </w:r>
            <w:r>
              <w:rPr>
                <w:rFonts w:hint="eastAsia"/>
                <w:color w:val="000000"/>
                <w:sz w:val="20"/>
                <w:szCs w:val="20"/>
              </w:rPr>
              <w:t>、质量及管理工作协调。</w:t>
            </w:r>
          </w:p>
          <w:p>
            <w:pPr>
              <w:spacing w:line="240" w:lineRule="exact"/>
              <w:rPr>
                <w:color w:val="000000"/>
                <w:sz w:val="20"/>
                <w:szCs w:val="20"/>
              </w:rPr>
            </w:pPr>
            <w:r>
              <w:rPr>
                <w:rFonts w:hint="eastAsia"/>
                <w:color w:val="000000"/>
                <w:sz w:val="20"/>
                <w:szCs w:val="20"/>
              </w:rPr>
              <w:t>通过原材料检验、过程检验、成品检验、客户确认等过程对产品质量、</w:t>
            </w:r>
            <w:r>
              <w:rPr>
                <w:rFonts w:hint="eastAsia"/>
                <w:color w:val="000000"/>
                <w:sz w:val="20"/>
                <w:szCs w:val="20"/>
                <w:lang w:val="en-US" w:eastAsia="zh-CN"/>
              </w:rPr>
              <w:t>安全</w:t>
            </w:r>
            <w:r>
              <w:rPr>
                <w:rFonts w:hint="eastAsia"/>
                <w:color w:val="000000"/>
                <w:sz w:val="20"/>
                <w:szCs w:val="20"/>
              </w:rPr>
              <w:t>评价、技术咨询服务进度等进行监控。</w:t>
            </w:r>
          </w:p>
          <w:p>
            <w:pPr>
              <w:spacing w:line="240" w:lineRule="exact"/>
              <w:rPr>
                <w:color w:val="000000"/>
                <w:sz w:val="20"/>
                <w:szCs w:val="20"/>
              </w:rPr>
            </w:pPr>
            <w:r>
              <w:rPr>
                <w:rFonts w:hint="eastAsia"/>
                <w:color w:val="000000"/>
                <w:sz w:val="20"/>
                <w:szCs w:val="20"/>
              </w:rPr>
              <w:t>为</w:t>
            </w:r>
            <w:r>
              <w:rPr>
                <w:rFonts w:hint="eastAsia"/>
                <w:color w:val="000000"/>
                <w:sz w:val="20"/>
                <w:szCs w:val="20"/>
                <w:lang w:val="en-US" w:eastAsia="zh-CN"/>
              </w:rPr>
              <w:t>安全</w:t>
            </w:r>
            <w:r>
              <w:rPr>
                <w:rFonts w:hint="eastAsia"/>
                <w:color w:val="000000"/>
                <w:sz w:val="20"/>
                <w:szCs w:val="20"/>
              </w:rPr>
              <w:t>评价、技术咨询服务过程提供了适宜的设备及环境，配备了胜任的人员。</w:t>
            </w:r>
          </w:p>
          <w:p>
            <w:pPr>
              <w:spacing w:line="240" w:lineRule="exact"/>
              <w:rPr>
                <w:b/>
                <w:color w:val="000000" w:themeColor="text1"/>
                <w:sz w:val="20"/>
                <w:szCs w:val="20"/>
              </w:rPr>
            </w:pPr>
            <w:r>
              <w:rPr>
                <w:rFonts w:hint="eastAsia"/>
                <w:color w:val="000000"/>
                <w:sz w:val="20"/>
                <w:szCs w:val="20"/>
              </w:rPr>
              <w:t>公司按照制定的程序、规程、管理制度等文件对环境影响评价、技术咨询服务过程实施了过程控制。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rFonts w:ascii="宋体" w:hAnsi="宋体" w:cs="宋体"/>
                <w:szCs w:val="22"/>
              </w:rPr>
            </w:pPr>
            <w:r>
              <w:rPr>
                <w:rFonts w:hint="eastAsia" w:ascii="宋体" w:hAnsi="宋体" w:cs="宋体"/>
                <w:szCs w:val="22"/>
              </w:rPr>
              <w:t>企业参考国家行业主要有：</w:t>
            </w:r>
            <w:r>
              <w:rPr>
                <w:rFonts w:hint="eastAsia" w:ascii="宋体" w:hAnsi="宋体"/>
                <w:color w:val="000000"/>
                <w:sz w:val="21"/>
                <w:szCs w:val="21"/>
              </w:rPr>
              <w:t>《生产过程安全卫生要求总则》GB/T12801-2008</w:t>
            </w:r>
            <w:r>
              <w:rPr>
                <w:rFonts w:hint="eastAsia" w:ascii="宋体" w:hAnsi="宋体"/>
                <w:color w:val="000000"/>
                <w:sz w:val="21"/>
                <w:szCs w:val="21"/>
                <w:lang w:eastAsia="zh-CN"/>
              </w:rPr>
              <w:t>、</w:t>
            </w:r>
            <w:r>
              <w:rPr>
                <w:rFonts w:ascii="宋体" w:hAnsi="宋体"/>
                <w:color w:val="000000"/>
                <w:sz w:val="21"/>
                <w:szCs w:val="21"/>
              </w:rPr>
              <w:t>《生产设备安全卫生设计总则》GB 5083—1985</w:t>
            </w:r>
            <w:r>
              <w:rPr>
                <w:rFonts w:hint="eastAsia" w:ascii="宋体" w:hAnsi="宋体"/>
                <w:color w:val="000000"/>
                <w:sz w:val="21"/>
                <w:szCs w:val="21"/>
                <w:lang w:eastAsia="zh-CN"/>
              </w:rPr>
              <w:t>、</w:t>
            </w:r>
            <w:r>
              <w:rPr>
                <w:rFonts w:ascii="宋体" w:hAnsi="宋体"/>
                <w:bCs/>
                <w:color w:val="000000"/>
                <w:sz w:val="21"/>
                <w:szCs w:val="21"/>
              </w:rPr>
              <w:t>《生产过程危险和有害因素分类与代码》GB/T 13861-</w:t>
            </w:r>
            <w:r>
              <w:rPr>
                <w:rFonts w:hint="eastAsia" w:ascii="宋体" w:hAnsi="宋体"/>
                <w:bCs/>
                <w:color w:val="000000"/>
                <w:sz w:val="21"/>
                <w:szCs w:val="21"/>
              </w:rPr>
              <w:t>2009</w:t>
            </w:r>
            <w:r>
              <w:rPr>
                <w:rFonts w:hint="eastAsia" w:ascii="宋体" w:hAnsi="宋体"/>
                <w:bCs/>
                <w:color w:val="000000"/>
                <w:sz w:val="21"/>
                <w:szCs w:val="21"/>
                <w:lang w:eastAsia="zh-CN"/>
              </w:rPr>
              <w:t>、</w:t>
            </w:r>
            <w:r>
              <w:rPr>
                <w:rFonts w:ascii="宋体" w:hAnsi="宋体"/>
                <w:color w:val="000000"/>
                <w:sz w:val="21"/>
                <w:szCs w:val="21"/>
              </w:rPr>
              <w:t>《工作场所危害因素职业接触限值化学有害因素》GBZ 2.1－2007</w:t>
            </w:r>
            <w:r>
              <w:rPr>
                <w:rFonts w:hint="eastAsia" w:ascii="宋体" w:hAnsi="宋体"/>
                <w:color w:val="000000"/>
                <w:sz w:val="21"/>
                <w:szCs w:val="21"/>
                <w:lang w:eastAsia="zh-CN"/>
              </w:rPr>
              <w:t>、</w:t>
            </w:r>
            <w:r>
              <w:rPr>
                <w:rFonts w:ascii="宋体" w:hAnsi="宋体"/>
                <w:color w:val="000000"/>
                <w:sz w:val="21"/>
                <w:szCs w:val="21"/>
              </w:rPr>
              <w:t>《</w:t>
            </w:r>
            <w:r>
              <w:rPr>
                <w:rFonts w:hint="eastAsia" w:ascii="宋体" w:hAnsi="宋体"/>
                <w:color w:val="000000"/>
                <w:sz w:val="21"/>
                <w:szCs w:val="21"/>
              </w:rPr>
              <w:t>个体防护装备选用规范</w:t>
            </w:r>
            <w:r>
              <w:rPr>
                <w:rFonts w:ascii="宋体" w:hAnsi="宋体"/>
                <w:color w:val="000000"/>
                <w:sz w:val="21"/>
                <w:szCs w:val="21"/>
              </w:rPr>
              <w:t>》GB</w:t>
            </w:r>
            <w:r>
              <w:rPr>
                <w:rFonts w:hint="eastAsia" w:ascii="宋体" w:hAnsi="宋体"/>
                <w:color w:val="000000"/>
                <w:sz w:val="21"/>
                <w:szCs w:val="21"/>
              </w:rPr>
              <w:t>/T</w:t>
            </w:r>
            <w:r>
              <w:rPr>
                <w:rFonts w:ascii="宋体" w:hAnsi="宋体"/>
                <w:color w:val="000000"/>
                <w:sz w:val="21"/>
                <w:szCs w:val="21"/>
              </w:rPr>
              <w:t xml:space="preserve"> 11651-</w:t>
            </w:r>
            <w:r>
              <w:rPr>
                <w:rFonts w:hint="eastAsia" w:ascii="宋体" w:hAnsi="宋体"/>
                <w:color w:val="000000"/>
                <w:sz w:val="21"/>
                <w:szCs w:val="21"/>
              </w:rPr>
              <w:t>2008</w:t>
            </w:r>
            <w:r>
              <w:rPr>
                <w:rFonts w:hint="eastAsia" w:ascii="宋体" w:hAnsi="宋体"/>
                <w:color w:val="000000"/>
                <w:sz w:val="21"/>
                <w:szCs w:val="21"/>
                <w:lang w:eastAsia="zh-CN"/>
              </w:rPr>
              <w:t>、</w:t>
            </w:r>
            <w:r>
              <w:rPr>
                <w:rFonts w:ascii="宋体" w:hAnsi="宋体"/>
                <w:color w:val="000000"/>
                <w:sz w:val="21"/>
                <w:szCs w:val="21"/>
              </w:rPr>
              <w:t>《安全标志</w:t>
            </w:r>
            <w:r>
              <w:rPr>
                <w:rFonts w:hint="eastAsia" w:ascii="宋体" w:hAnsi="宋体"/>
                <w:color w:val="000000"/>
                <w:sz w:val="21"/>
                <w:szCs w:val="21"/>
              </w:rPr>
              <w:t>及其使用导则</w:t>
            </w:r>
            <w:r>
              <w:rPr>
                <w:rFonts w:ascii="宋体" w:hAnsi="宋体"/>
                <w:color w:val="000000"/>
                <w:sz w:val="21"/>
                <w:szCs w:val="21"/>
              </w:rPr>
              <w:t>》GB 2894-</w:t>
            </w:r>
            <w:r>
              <w:rPr>
                <w:rFonts w:hint="eastAsia" w:ascii="宋体" w:hAnsi="宋体"/>
                <w:color w:val="000000"/>
                <w:sz w:val="21"/>
                <w:szCs w:val="21"/>
              </w:rPr>
              <w:t>2008</w:t>
            </w:r>
            <w:r>
              <w:rPr>
                <w:rFonts w:hint="eastAsia" w:ascii="宋体" w:hAnsi="宋体"/>
                <w:color w:val="000000"/>
                <w:sz w:val="21"/>
                <w:szCs w:val="21"/>
                <w:lang w:eastAsia="zh-CN"/>
              </w:rPr>
              <w:t>、</w:t>
            </w:r>
            <w:r>
              <w:rPr>
                <w:rFonts w:hint="eastAsia" w:ascii="宋体" w:hAnsi="宋体"/>
                <w:color w:val="000000"/>
                <w:sz w:val="21"/>
                <w:szCs w:val="21"/>
              </w:rPr>
              <w:t>企业安全生产标准化基本规范GBT33000-2016</w:t>
            </w:r>
            <w:r>
              <w:rPr>
                <w:rFonts w:hint="eastAsia" w:hAnsiTheme="minorEastAsia" w:eastAsiaTheme="minorEastAsia"/>
                <w:szCs w:val="21"/>
              </w:rPr>
              <w:t>等</w:t>
            </w:r>
            <w:r>
              <w:rPr>
                <w:rFonts w:hint="eastAsia" w:ascii="宋体" w:hAnsi="宋体" w:cs="宋体"/>
                <w:szCs w:val="22"/>
              </w:rPr>
              <w:t>和客户要求。</w:t>
            </w:r>
          </w:p>
          <w:p>
            <w:pPr>
              <w:spacing w:line="300" w:lineRule="exact"/>
              <w:rPr>
                <w:rFonts w:ascii="宋体" w:hAnsi="宋体" w:cs="宋体"/>
                <w:szCs w:val="22"/>
              </w:rPr>
            </w:pPr>
          </w:p>
          <w:p>
            <w:pPr>
              <w:ind w:firstLine="420" w:firstLineChars="200"/>
              <w:rPr>
                <w:rFonts w:ascii="宋体" w:hAnsi="宋体" w:cs="宋体"/>
                <w:szCs w:val="22"/>
              </w:rPr>
            </w:pPr>
            <w:r>
              <w:rPr>
                <w:rFonts w:hint="eastAsia" w:ascii="宋体" w:hAnsi="宋体" w:cs="宋体"/>
                <w:szCs w:val="22"/>
              </w:rPr>
              <w:t>产品质量满足顾客要求。</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ind w:firstLine="400" w:firstLineChars="200"/>
              <w:rPr>
                <w:color w:val="000000"/>
                <w:sz w:val="20"/>
                <w:szCs w:val="20"/>
              </w:rPr>
            </w:pPr>
            <w:r>
              <w:rPr>
                <w:rFonts w:hint="eastAsia"/>
                <w:color w:val="000000"/>
                <w:sz w:val="20"/>
                <w:szCs w:val="20"/>
              </w:rPr>
              <w:t>1、废水管控：</w:t>
            </w:r>
          </w:p>
          <w:p>
            <w:pPr>
              <w:ind w:firstLine="400" w:firstLineChars="200"/>
              <w:rPr>
                <w:color w:val="000000"/>
                <w:sz w:val="20"/>
                <w:szCs w:val="20"/>
              </w:rPr>
            </w:pPr>
            <w:r>
              <w:rPr>
                <w:rFonts w:hint="eastAsia"/>
                <w:color w:val="000000"/>
                <w:sz w:val="20"/>
                <w:szCs w:val="20"/>
              </w:rPr>
              <w:t>企业无工业废水，生活废水经化粪池简单处理后流入市政管网。</w:t>
            </w:r>
          </w:p>
          <w:p>
            <w:pPr>
              <w:ind w:firstLine="400" w:firstLineChars="200"/>
              <w:rPr>
                <w:color w:val="000000"/>
                <w:sz w:val="20"/>
                <w:szCs w:val="20"/>
              </w:rPr>
            </w:pPr>
            <w:r>
              <w:rPr>
                <w:rFonts w:hint="eastAsia"/>
                <w:color w:val="000000"/>
                <w:sz w:val="20"/>
                <w:szCs w:val="20"/>
              </w:rPr>
              <w:t>2、废气管控：</w:t>
            </w:r>
          </w:p>
          <w:p>
            <w:pPr>
              <w:ind w:firstLine="400" w:firstLineChars="200"/>
              <w:rPr>
                <w:color w:val="000000"/>
                <w:sz w:val="20"/>
                <w:szCs w:val="20"/>
              </w:rPr>
            </w:pPr>
            <w:r>
              <w:rPr>
                <w:rFonts w:hint="eastAsia"/>
                <w:color w:val="000000"/>
                <w:sz w:val="20"/>
                <w:szCs w:val="20"/>
              </w:rPr>
              <w:t>无废气产生。</w:t>
            </w:r>
          </w:p>
          <w:p>
            <w:pPr>
              <w:ind w:firstLine="400" w:firstLineChars="200"/>
              <w:rPr>
                <w:color w:val="000000"/>
                <w:sz w:val="20"/>
                <w:szCs w:val="20"/>
              </w:rPr>
            </w:pPr>
            <w:r>
              <w:rPr>
                <w:rFonts w:hint="eastAsia"/>
                <w:color w:val="000000"/>
                <w:sz w:val="20"/>
                <w:szCs w:val="20"/>
              </w:rPr>
              <w:t>3、噪声管控：</w:t>
            </w:r>
          </w:p>
          <w:p>
            <w:pPr>
              <w:ind w:firstLine="400" w:firstLineChars="200"/>
              <w:rPr>
                <w:color w:val="000000"/>
                <w:sz w:val="20"/>
                <w:szCs w:val="20"/>
              </w:rPr>
            </w:pPr>
            <w:r>
              <w:rPr>
                <w:rFonts w:hint="eastAsia"/>
                <w:color w:val="000000"/>
                <w:sz w:val="20"/>
                <w:szCs w:val="20"/>
              </w:rPr>
              <w:t>办公及</w:t>
            </w:r>
            <w:r>
              <w:rPr>
                <w:rFonts w:hint="eastAsia"/>
                <w:color w:val="000000"/>
                <w:sz w:val="20"/>
                <w:szCs w:val="20"/>
                <w:lang w:val="en-US" w:eastAsia="zh-CN"/>
              </w:rPr>
              <w:t>安全</w:t>
            </w:r>
            <w:r>
              <w:rPr>
                <w:rFonts w:hint="eastAsia"/>
                <w:color w:val="000000"/>
                <w:sz w:val="20"/>
                <w:szCs w:val="20"/>
              </w:rPr>
              <w:t>评价、技术咨询服务</w:t>
            </w:r>
            <w:r>
              <w:rPr>
                <w:rFonts w:hint="eastAsia"/>
                <w:color w:val="000000"/>
                <w:sz w:val="20"/>
                <w:szCs w:val="20"/>
                <w:lang w:val="en-US" w:eastAsia="zh-CN"/>
              </w:rPr>
              <w:t>等</w:t>
            </w:r>
            <w:r>
              <w:rPr>
                <w:rFonts w:hint="eastAsia"/>
                <w:color w:val="000000"/>
                <w:sz w:val="20"/>
                <w:szCs w:val="20"/>
              </w:rPr>
              <w:t>过程基本无噪声排放。</w:t>
            </w:r>
          </w:p>
          <w:p>
            <w:pPr>
              <w:ind w:firstLine="400" w:firstLineChars="200"/>
              <w:rPr>
                <w:color w:val="000000"/>
                <w:sz w:val="20"/>
                <w:szCs w:val="20"/>
              </w:rPr>
            </w:pPr>
            <w:r>
              <w:rPr>
                <w:rFonts w:hint="eastAsia"/>
                <w:color w:val="000000"/>
                <w:sz w:val="20"/>
                <w:szCs w:val="20"/>
              </w:rPr>
              <w:t>4、固废管控：</w:t>
            </w:r>
          </w:p>
          <w:p>
            <w:pPr>
              <w:ind w:firstLine="400" w:firstLineChars="200"/>
              <w:rPr>
                <w:color w:val="000000"/>
                <w:sz w:val="20"/>
                <w:szCs w:val="20"/>
              </w:rPr>
            </w:pPr>
            <w:r>
              <w:rPr>
                <w:rFonts w:hint="eastAsia"/>
                <w:color w:val="000000"/>
                <w:sz w:val="20"/>
                <w:szCs w:val="20"/>
              </w:rPr>
              <w:t>办公废旧硒鼓/墨盒，由供应商回收。生活垃圾由物业处理，公司缴纳处理费。</w:t>
            </w:r>
          </w:p>
          <w:p>
            <w:pPr>
              <w:ind w:firstLine="400" w:firstLineChars="200"/>
              <w:rPr>
                <w:color w:val="000000"/>
                <w:sz w:val="20"/>
                <w:szCs w:val="20"/>
              </w:rPr>
            </w:pPr>
            <w:r>
              <w:rPr>
                <w:rFonts w:hint="eastAsia"/>
                <w:color w:val="000000"/>
                <w:sz w:val="20"/>
                <w:szCs w:val="20"/>
              </w:rPr>
              <w:t>能源资源管控：</w:t>
            </w:r>
          </w:p>
          <w:p>
            <w:pPr>
              <w:ind w:firstLine="400" w:firstLineChars="200"/>
              <w:rPr>
                <w:color w:val="000000"/>
                <w:sz w:val="20"/>
                <w:szCs w:val="20"/>
              </w:rPr>
            </w:pPr>
            <w:r>
              <w:rPr>
                <w:rFonts w:hint="eastAsia"/>
                <w:color w:val="000000"/>
                <w:sz w:val="20"/>
                <w:szCs w:val="20"/>
              </w:rPr>
              <w:t>注意节水、节电，人走关闭设备和照明开关，现场未发现有漏水和浪费电能的现象。</w:t>
            </w:r>
          </w:p>
          <w:p>
            <w:pPr>
              <w:ind w:firstLine="400" w:firstLineChars="200"/>
              <w:rPr>
                <w:color w:val="000000"/>
                <w:sz w:val="20"/>
                <w:szCs w:val="20"/>
              </w:rPr>
            </w:pPr>
            <w:r>
              <w:rPr>
                <w:rFonts w:hint="eastAsia"/>
                <w:color w:val="000000"/>
                <w:sz w:val="20"/>
                <w:szCs w:val="20"/>
              </w:rPr>
              <w:t>6、产品生命周期的环境管控：</w:t>
            </w:r>
          </w:p>
          <w:p>
            <w:pPr>
              <w:ind w:firstLine="400" w:firstLineChars="200"/>
              <w:rPr>
                <w:color w:val="000000"/>
                <w:sz w:val="20"/>
                <w:szCs w:val="20"/>
              </w:rPr>
            </w:pPr>
            <w:r>
              <w:rPr>
                <w:rFonts w:hint="eastAsia"/>
                <w:color w:val="000000"/>
                <w:sz w:val="20"/>
                <w:szCs w:val="20"/>
              </w:rPr>
              <w:t>公司在</w:t>
            </w:r>
            <w:r>
              <w:rPr>
                <w:rFonts w:hint="eastAsia"/>
                <w:color w:val="000000"/>
                <w:sz w:val="20"/>
                <w:szCs w:val="20"/>
                <w:lang w:val="en-US" w:eastAsia="zh-CN"/>
              </w:rPr>
              <w:t>安全</w:t>
            </w:r>
            <w:r>
              <w:rPr>
                <w:rFonts w:hint="eastAsia"/>
                <w:color w:val="000000"/>
                <w:sz w:val="20"/>
                <w:szCs w:val="20"/>
              </w:rPr>
              <w:t>评价、技术咨询服务</w:t>
            </w:r>
            <w:r>
              <w:rPr>
                <w:rFonts w:hint="eastAsia"/>
                <w:color w:val="000000"/>
                <w:sz w:val="20"/>
                <w:szCs w:val="20"/>
                <w:lang w:val="en-US" w:eastAsia="zh-CN"/>
              </w:rPr>
              <w:t>等</w:t>
            </w:r>
            <w:r>
              <w:rPr>
                <w:rFonts w:hint="eastAsia"/>
                <w:color w:val="000000"/>
                <w:sz w:val="20"/>
                <w:szCs w:val="20"/>
              </w:rPr>
              <w:t>过程中，严格按照环保等管理制度实施，控制好材料的用量，避免浪费，考虑了生命周期终了时还可以回收再利用。</w:t>
            </w:r>
          </w:p>
          <w:p>
            <w:pPr>
              <w:ind w:firstLine="400" w:firstLineChars="200"/>
              <w:rPr>
                <w:color w:val="000000"/>
                <w:sz w:val="20"/>
                <w:szCs w:val="20"/>
              </w:rPr>
            </w:pPr>
            <w:r>
              <w:rPr>
                <w:rFonts w:hint="eastAsia"/>
                <w:color w:val="000000"/>
                <w:sz w:val="20"/>
                <w:szCs w:val="20"/>
              </w:rPr>
              <w:t>7、对相关方施加环境、安全影响。</w:t>
            </w:r>
          </w:p>
          <w:p>
            <w:pPr>
              <w:spacing w:before="120" w:line="160" w:lineRule="exact"/>
              <w:ind w:firstLine="420" w:firstLineChars="200"/>
              <w:rPr>
                <w:rFonts w:hint="default" w:ascii="方正仿宋简体" w:eastAsia="楷体"/>
                <w:b/>
                <w:sz w:val="28"/>
                <w:szCs w:val="28"/>
                <w:lang w:val="en-US" w:eastAsia="zh-CN"/>
              </w:rPr>
            </w:pPr>
            <w:r>
              <w:rPr>
                <w:rFonts w:hint="eastAsia" w:ascii="宋体" w:hAnsi="宋体" w:eastAsia="宋体" w:cs="宋体"/>
                <w:color w:val="auto"/>
                <w:sz w:val="21"/>
                <w:szCs w:val="21"/>
              </w:rPr>
              <w:t>现场办公区域</w:t>
            </w:r>
            <w:r>
              <w:rPr>
                <w:rFonts w:hint="eastAsia" w:ascii="宋体" w:hAnsi="宋体" w:eastAsia="宋体" w:cs="宋体"/>
                <w:color w:val="auto"/>
                <w:sz w:val="21"/>
                <w:szCs w:val="21"/>
                <w:lang w:val="en-US" w:eastAsia="zh-CN"/>
              </w:rPr>
              <w:t>末</w:t>
            </w:r>
            <w:r>
              <w:rPr>
                <w:rFonts w:hint="eastAsia" w:ascii="宋体" w:hAnsi="宋体" w:eastAsia="宋体" w:cs="宋体"/>
                <w:color w:val="auto"/>
                <w:sz w:val="21"/>
                <w:szCs w:val="21"/>
              </w:rPr>
              <w:t>配备灭火器等消防设施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开具了不符合项。</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p>
            <w:pPr>
              <w:spacing w:line="240" w:lineRule="exact"/>
              <w:rPr>
                <w:b/>
                <w:color w:val="000000" w:themeColor="text1"/>
                <w:sz w:val="20"/>
                <w:szCs w:val="20"/>
              </w:rPr>
            </w:pPr>
          </w:p>
          <w:p>
            <w:pPr>
              <w:ind w:firstLine="400" w:firstLineChars="200"/>
              <w:rPr>
                <w:color w:val="000000"/>
                <w:sz w:val="20"/>
                <w:szCs w:val="20"/>
              </w:rPr>
            </w:pPr>
            <w:r>
              <w:rPr>
                <w:rFonts w:hint="eastAsia"/>
                <w:color w:val="000000"/>
                <w:sz w:val="20"/>
                <w:szCs w:val="20"/>
              </w:rPr>
              <w:t>1、潜在火灾管控：</w:t>
            </w:r>
          </w:p>
          <w:p>
            <w:pPr>
              <w:ind w:firstLine="400" w:firstLineChars="200"/>
              <w:rPr>
                <w:color w:val="000000"/>
                <w:sz w:val="20"/>
                <w:szCs w:val="20"/>
              </w:rPr>
            </w:pPr>
            <w:r>
              <w:rPr>
                <w:rFonts w:hint="eastAsia"/>
                <w:color w:val="000000"/>
                <w:sz w:val="20"/>
                <w:szCs w:val="20"/>
              </w:rPr>
              <w:t>公司办公及研发、系统集成区域配备了消防栓和灭火器，状态有效。</w:t>
            </w:r>
          </w:p>
          <w:p>
            <w:pPr>
              <w:ind w:firstLine="400" w:firstLineChars="200"/>
              <w:rPr>
                <w:color w:val="000000"/>
                <w:sz w:val="20"/>
                <w:szCs w:val="20"/>
              </w:rPr>
            </w:pPr>
            <w:r>
              <w:rPr>
                <w:rFonts w:hint="eastAsia"/>
                <w:color w:val="000000"/>
                <w:sz w:val="20"/>
                <w:szCs w:val="20"/>
              </w:rPr>
              <w:t>2、安全防护：</w:t>
            </w:r>
          </w:p>
          <w:p>
            <w:pPr>
              <w:ind w:firstLine="400" w:firstLineChars="200"/>
              <w:rPr>
                <w:color w:val="000000"/>
                <w:sz w:val="20"/>
                <w:szCs w:val="20"/>
              </w:rPr>
            </w:pPr>
            <w:r>
              <w:rPr>
                <w:rFonts w:hint="eastAsia"/>
                <w:color w:val="000000"/>
                <w:sz w:val="20"/>
                <w:szCs w:val="20"/>
              </w:rPr>
              <w:t>现场电线布线合理，漏电保护器状态良好。</w:t>
            </w:r>
          </w:p>
          <w:p>
            <w:pPr>
              <w:ind w:firstLine="400" w:firstLineChars="200"/>
              <w:rPr>
                <w:color w:val="000000"/>
                <w:sz w:val="20"/>
                <w:szCs w:val="20"/>
              </w:rPr>
            </w:pPr>
            <w:r>
              <w:rPr>
                <w:rFonts w:hint="eastAsia"/>
                <w:color w:val="000000"/>
                <w:sz w:val="20"/>
                <w:szCs w:val="20"/>
              </w:rPr>
              <w:t>3、为主要长期员工上社保、工伤保险，安排健康体检。</w:t>
            </w:r>
          </w:p>
          <w:p>
            <w:pPr>
              <w:ind w:firstLine="400" w:firstLineChars="200"/>
              <w:rPr>
                <w:color w:val="000000"/>
                <w:sz w:val="20"/>
                <w:szCs w:val="20"/>
              </w:rPr>
            </w:pPr>
            <w:r>
              <w:rPr>
                <w:rFonts w:hint="eastAsia"/>
                <w:color w:val="000000"/>
                <w:sz w:val="20"/>
                <w:szCs w:val="20"/>
              </w:rPr>
              <w:t>4、为环境和职业健康安全管理体系运行提供了财务支持。</w:t>
            </w:r>
          </w:p>
          <w:p>
            <w:pPr>
              <w:ind w:firstLine="400" w:firstLineChars="200"/>
              <w:rPr>
                <w:color w:val="000000"/>
                <w:sz w:val="20"/>
                <w:szCs w:val="20"/>
              </w:rPr>
            </w:pPr>
            <w:r>
              <w:rPr>
                <w:rFonts w:hint="eastAsia"/>
                <w:color w:val="000000"/>
                <w:sz w:val="20"/>
                <w:szCs w:val="20"/>
              </w:rPr>
              <w:t>5、员工饮用水为纯净水通过饮水机饮用。</w:t>
            </w:r>
          </w:p>
          <w:p>
            <w:pPr>
              <w:spacing w:line="240" w:lineRule="exact"/>
              <w:rPr>
                <w:b/>
                <w:color w:val="000000" w:themeColor="text1"/>
                <w:sz w:val="20"/>
                <w:szCs w:val="20"/>
              </w:rPr>
            </w:pPr>
            <w:r>
              <w:rPr>
                <w:rFonts w:hint="eastAsia" w:ascii="宋体" w:hAnsi="宋体" w:eastAsia="宋体" w:cs="宋体"/>
                <w:color w:val="auto"/>
                <w:sz w:val="21"/>
                <w:szCs w:val="21"/>
              </w:rPr>
              <w:t>现场办公区域</w:t>
            </w:r>
            <w:r>
              <w:rPr>
                <w:rFonts w:hint="eastAsia" w:ascii="宋体" w:hAnsi="宋体" w:eastAsia="宋体" w:cs="宋体"/>
                <w:color w:val="auto"/>
                <w:sz w:val="21"/>
                <w:szCs w:val="21"/>
                <w:lang w:val="en-US" w:eastAsia="zh-CN"/>
              </w:rPr>
              <w:t>末</w:t>
            </w:r>
            <w:r>
              <w:rPr>
                <w:rFonts w:hint="eastAsia" w:ascii="宋体" w:hAnsi="宋体" w:eastAsia="宋体" w:cs="宋体"/>
                <w:color w:val="auto"/>
                <w:sz w:val="21"/>
                <w:szCs w:val="21"/>
              </w:rPr>
              <w:t>配备灭火器等消防设施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开具了不符合项。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ind w:firstLine="400" w:firstLineChars="200"/>
              <w:rPr>
                <w:color w:val="000000"/>
                <w:sz w:val="20"/>
                <w:szCs w:val="20"/>
              </w:rPr>
            </w:pPr>
            <w:r>
              <w:rPr>
                <w:rFonts w:hint="eastAsia"/>
                <w:color w:val="000000"/>
                <w:sz w:val="20"/>
                <w:szCs w:val="20"/>
              </w:rPr>
              <w:t>制定了《应急准备和响应控制程序》，编制了火灾、触电应急预案，包含有事件级别及不同级别事件的处理程序、事件处理组织机构及职责分工、通用及特殊处理程序、各岗位要求等。具有可操作性。</w:t>
            </w:r>
          </w:p>
          <w:p>
            <w:pPr>
              <w:ind w:firstLine="400" w:firstLineChars="200"/>
              <w:rPr>
                <w:b/>
                <w:color w:val="000000" w:themeColor="text1"/>
                <w:spacing w:val="-4"/>
                <w:sz w:val="20"/>
                <w:szCs w:val="20"/>
              </w:rPr>
            </w:pPr>
            <w:r>
              <w:rPr>
                <w:rFonts w:hint="eastAsia"/>
                <w:color w:val="000000"/>
                <w:sz w:val="20"/>
                <w:szCs w:val="20"/>
              </w:rPr>
              <w:t>定期记录应急预案的演练，应急演练后对应急预案进行了评审，应急预案不重要修订。基本符合。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szCs w:val="22"/>
                <w:u w:val="single"/>
              </w:rPr>
              <w:t>202</w:t>
            </w:r>
            <w:r>
              <w:rPr>
                <w:rFonts w:hint="eastAsia" w:ascii="宋体" w:hAnsi="宋体"/>
                <w:szCs w:val="22"/>
                <w:u w:val="single"/>
                <w:lang w:val="en-US" w:eastAsia="zh-CN"/>
              </w:rPr>
              <w:t>1</w:t>
            </w:r>
            <w:r>
              <w:rPr>
                <w:rFonts w:hint="eastAsia" w:ascii="宋体" w:hAnsi="宋体"/>
                <w:szCs w:val="22"/>
                <w:u w:val="single"/>
              </w:rPr>
              <w:t>年</w:t>
            </w:r>
            <w:r>
              <w:rPr>
                <w:rFonts w:hint="eastAsia" w:ascii="宋体" w:hAnsi="宋体"/>
                <w:szCs w:val="22"/>
                <w:u w:val="single"/>
                <w:lang w:val="en-US" w:eastAsia="zh-CN"/>
              </w:rPr>
              <w:t>4</w:t>
            </w:r>
            <w:r>
              <w:rPr>
                <w:rFonts w:hint="eastAsia" w:ascii="宋体" w:hAnsi="宋体"/>
                <w:szCs w:val="22"/>
                <w:u w:val="single"/>
              </w:rPr>
              <w:t>月对质量/环境/职业健康安全目标指标进行了检查，能达标。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szCs w:val="21"/>
                <w:lang w:val="zh-CN"/>
              </w:rPr>
            </w:pPr>
            <w:r>
              <w:rPr>
                <w:rFonts w:hint="eastAsia"/>
                <w:szCs w:val="21"/>
                <w:lang w:val="zh-CN"/>
              </w:rPr>
              <w:t>公司编制《顾客满意度控制程序》，通过拜访、电话、电邮、问卷等形式，收集顾客反馈信息，监视顾客满意程度，评价体系的有效性，寻求体系改进的机会。</w:t>
            </w:r>
          </w:p>
          <w:p>
            <w:pPr>
              <w:ind w:firstLine="420" w:firstLineChars="200"/>
              <w:rPr>
                <w:b/>
                <w:color w:val="000000" w:themeColor="text1"/>
                <w:sz w:val="20"/>
                <w:szCs w:val="20"/>
              </w:rPr>
            </w:pPr>
            <w:r>
              <w:rPr>
                <w:rFonts w:hint="eastAsia"/>
                <w:szCs w:val="21"/>
                <w:lang w:val="zh-CN"/>
              </w:rPr>
              <w:t>提供如客户：</w:t>
            </w:r>
            <w:r>
              <w:rPr>
                <w:rFonts w:hint="eastAsia" w:ascii="宋体" w:hAnsi="宋体" w:eastAsia="宋体" w:cs="宋体"/>
                <w:color w:val="000000"/>
                <w:sz w:val="21"/>
                <w:szCs w:val="21"/>
              </w:rPr>
              <w:t>浙江意通物流有限公司</w:t>
            </w:r>
            <w:r>
              <w:rPr>
                <w:rFonts w:hint="eastAsia" w:ascii="宋体" w:hAnsi="宋体" w:eastAsia="宋体" w:cs="宋体"/>
                <w:sz w:val="21"/>
                <w:szCs w:val="21"/>
              </w:rPr>
              <w:t>、</w:t>
            </w:r>
            <w:r>
              <w:rPr>
                <w:rFonts w:hint="eastAsia" w:ascii="宋体" w:hAnsi="宋体" w:eastAsia="宋体" w:cs="宋体"/>
                <w:color w:val="000000"/>
                <w:sz w:val="21"/>
                <w:szCs w:val="21"/>
              </w:rPr>
              <w:t>海宁启成土石方工程有限公司</w:t>
            </w:r>
            <w:r>
              <w:rPr>
                <w:rFonts w:hint="eastAsia" w:ascii="宋体" w:hAnsi="宋体" w:eastAsia="宋体" w:cs="宋体"/>
                <w:sz w:val="21"/>
                <w:szCs w:val="21"/>
              </w:rPr>
              <w:t>、</w:t>
            </w:r>
            <w:r>
              <w:rPr>
                <w:rFonts w:hint="eastAsia" w:ascii="宋体" w:hAnsi="宋体" w:eastAsia="宋体" w:cs="宋体"/>
                <w:color w:val="000000"/>
                <w:sz w:val="21"/>
                <w:szCs w:val="21"/>
              </w:rPr>
              <w:t>嘉兴市联新运输有限公司</w:t>
            </w:r>
            <w:r>
              <w:rPr>
                <w:rFonts w:hint="eastAsia" w:ascii="宋体" w:hAnsi="宋体" w:eastAsia="宋体" w:cs="宋体"/>
                <w:sz w:val="21"/>
                <w:szCs w:val="21"/>
              </w:rPr>
              <w:t>等</w:t>
            </w:r>
            <w:r>
              <w:rPr>
                <w:rFonts w:hint="eastAsia"/>
                <w:szCs w:val="21"/>
                <w:lang w:val="en-US" w:eastAsia="zh-CN"/>
              </w:rPr>
              <w:t>3</w:t>
            </w:r>
            <w:r>
              <w:rPr>
                <w:rFonts w:hint="eastAsia"/>
                <w:szCs w:val="21"/>
                <w:lang w:val="zh-CN"/>
              </w:rPr>
              <w:t>家顾客的《顾客满意度调查记录表》，调查包含：质量、交货期、服务、价格等指标，满意程度分为很满意---不满意等四个档次。从提供的调查表来看，客户对组织评价均为“很满意”、“满意”。《顾客满意度调查分析》，对顾客满意度指标完成情况、顾客建议改进方向等予以分析汇总，经评价测算客户满意度得分</w:t>
            </w:r>
            <w:r>
              <w:rPr>
                <w:rFonts w:hint="eastAsia"/>
                <w:szCs w:val="21"/>
                <w:lang w:val="en-US" w:eastAsia="zh-CN"/>
              </w:rPr>
              <w:t>96</w:t>
            </w:r>
            <w:r>
              <w:rPr>
                <w:rFonts w:hint="eastAsia"/>
                <w:szCs w:val="21"/>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ind w:firstLine="400" w:firstLineChars="200"/>
              <w:rPr>
                <w:color w:val="000000" w:themeColor="text1"/>
                <w:sz w:val="20"/>
                <w:szCs w:val="20"/>
              </w:rPr>
            </w:pPr>
            <w:r>
              <w:rPr>
                <w:rFonts w:hint="eastAsia"/>
                <w:color w:val="000000" w:themeColor="text1"/>
                <w:sz w:val="20"/>
                <w:szCs w:val="20"/>
              </w:rPr>
              <w:t>由组长饶念组织内部审核，查年度审核计划：提供《内部审核计划》，其内容已包括了审核目的、范围、依据。</w:t>
            </w:r>
          </w:p>
          <w:p>
            <w:pPr>
              <w:ind w:firstLine="400" w:firstLineChars="200"/>
              <w:rPr>
                <w:color w:val="000000" w:themeColor="text1"/>
                <w:sz w:val="20"/>
                <w:szCs w:val="20"/>
              </w:rPr>
            </w:pPr>
            <w:r>
              <w:rPr>
                <w:rFonts w:hint="eastAsia"/>
                <w:color w:val="000000" w:themeColor="text1"/>
                <w:sz w:val="20"/>
                <w:szCs w:val="20"/>
              </w:rPr>
              <w:t>审核组构成：</w:t>
            </w:r>
            <w:r>
              <w:rPr>
                <w:rFonts w:hint="eastAsia" w:asciiTheme="majorEastAsia" w:hAnsiTheme="majorEastAsia" w:eastAsiaTheme="majorEastAsia" w:cstheme="majorEastAsia"/>
                <w:sz w:val="21"/>
                <w:szCs w:val="21"/>
              </w:rPr>
              <w:t>审核组长：</w:t>
            </w:r>
            <w:r>
              <w:rPr>
                <w:rFonts w:hint="eastAsia" w:asciiTheme="majorEastAsia" w:hAnsiTheme="majorEastAsia" w:eastAsiaTheme="majorEastAsia" w:cstheme="majorEastAsia"/>
                <w:sz w:val="21"/>
                <w:szCs w:val="21"/>
                <w:lang w:val="en-US" w:eastAsia="zh-CN"/>
              </w:rPr>
              <w:t>曾正</w:t>
            </w:r>
            <w:r>
              <w:rPr>
                <w:rFonts w:hint="eastAsia" w:asciiTheme="majorEastAsia" w:hAnsiTheme="majorEastAsia" w:eastAsiaTheme="majorEastAsia" w:cstheme="majorEastAsia"/>
                <w:sz w:val="21"/>
                <w:szCs w:val="21"/>
              </w:rPr>
              <w:t>(A）、审核组成员：</w:t>
            </w:r>
            <w:r>
              <w:rPr>
                <w:rFonts w:hint="eastAsia" w:asciiTheme="majorEastAsia" w:hAnsiTheme="majorEastAsia" w:eastAsiaTheme="majorEastAsia" w:cstheme="majorEastAsia"/>
                <w:color w:val="000000"/>
                <w:sz w:val="21"/>
                <w:szCs w:val="21"/>
              </w:rPr>
              <w:t>阚春芳</w:t>
            </w:r>
            <w:r>
              <w:rPr>
                <w:rFonts w:hint="eastAsia" w:asciiTheme="majorEastAsia" w:hAnsiTheme="majorEastAsia" w:eastAsiaTheme="majorEastAsia" w:cstheme="majorEastAsia"/>
                <w:sz w:val="21"/>
                <w:szCs w:val="21"/>
              </w:rPr>
              <w:t>(B)；</w:t>
            </w:r>
          </w:p>
          <w:p>
            <w:pPr>
              <w:ind w:firstLine="400" w:firstLineChars="200"/>
              <w:rPr>
                <w:color w:val="000000" w:themeColor="text1"/>
                <w:sz w:val="20"/>
                <w:szCs w:val="20"/>
              </w:rPr>
            </w:pPr>
            <w:r>
              <w:rPr>
                <w:rFonts w:hint="eastAsia"/>
                <w:color w:val="000000" w:themeColor="text1"/>
                <w:sz w:val="20"/>
                <w:szCs w:val="20"/>
              </w:rPr>
              <w:t>1. 审核时间20</w:t>
            </w:r>
            <w:r>
              <w:rPr>
                <w:rFonts w:hint="eastAsia"/>
                <w:color w:val="000000" w:themeColor="text1"/>
                <w:sz w:val="20"/>
                <w:szCs w:val="20"/>
                <w:lang w:val="en-US" w:eastAsia="zh-CN"/>
              </w:rPr>
              <w:t>21</w:t>
            </w:r>
            <w:r>
              <w:rPr>
                <w:rFonts w:hint="eastAsia"/>
                <w:color w:val="000000" w:themeColor="text1"/>
                <w:sz w:val="20"/>
                <w:szCs w:val="20"/>
              </w:rPr>
              <w:t>年</w:t>
            </w:r>
            <w:r>
              <w:rPr>
                <w:rFonts w:hint="eastAsia"/>
                <w:color w:val="000000" w:themeColor="text1"/>
                <w:sz w:val="20"/>
                <w:szCs w:val="20"/>
                <w:lang w:val="en-US" w:eastAsia="zh-CN"/>
              </w:rPr>
              <w:t>3</w:t>
            </w:r>
            <w:r>
              <w:rPr>
                <w:rFonts w:hint="eastAsia"/>
                <w:color w:val="000000" w:themeColor="text1"/>
                <w:sz w:val="20"/>
                <w:szCs w:val="20"/>
              </w:rPr>
              <w:t>月</w:t>
            </w:r>
            <w:r>
              <w:rPr>
                <w:rFonts w:hint="eastAsia"/>
                <w:color w:val="000000" w:themeColor="text1"/>
                <w:sz w:val="20"/>
                <w:szCs w:val="20"/>
                <w:lang w:val="en-US" w:eastAsia="zh-CN"/>
              </w:rPr>
              <w:t>15-16</w:t>
            </w:r>
            <w:r>
              <w:rPr>
                <w:rFonts w:hint="eastAsia"/>
                <w:color w:val="000000" w:themeColor="text1"/>
                <w:sz w:val="20"/>
                <w:szCs w:val="20"/>
              </w:rPr>
              <w:t>日，</w:t>
            </w:r>
          </w:p>
          <w:p>
            <w:pPr>
              <w:ind w:firstLine="400" w:firstLineChars="200"/>
              <w:rPr>
                <w:color w:val="000000" w:themeColor="text1"/>
                <w:sz w:val="20"/>
                <w:szCs w:val="20"/>
              </w:rPr>
            </w:pPr>
            <w:r>
              <w:rPr>
                <w:rFonts w:hint="eastAsia"/>
                <w:color w:val="000000" w:themeColor="text1"/>
                <w:sz w:val="20"/>
                <w:szCs w:val="20"/>
              </w:rPr>
              <w:t>2.审核按计划进行，抽查检查表</w:t>
            </w:r>
            <w:r>
              <w:rPr>
                <w:rFonts w:hint="eastAsia"/>
                <w:color w:val="000000" w:themeColor="text1"/>
                <w:sz w:val="20"/>
                <w:szCs w:val="20"/>
                <w:lang w:val="en-US" w:eastAsia="zh-CN"/>
              </w:rPr>
              <w:t>综合</w:t>
            </w:r>
            <w:r>
              <w:rPr>
                <w:rFonts w:hint="eastAsia"/>
                <w:color w:val="000000" w:themeColor="text1"/>
                <w:sz w:val="20"/>
                <w:szCs w:val="20"/>
              </w:rPr>
              <w:t>部、</w:t>
            </w:r>
            <w:r>
              <w:rPr>
                <w:rFonts w:hint="eastAsia"/>
                <w:color w:val="000000" w:themeColor="text1"/>
                <w:sz w:val="20"/>
                <w:szCs w:val="20"/>
                <w:lang w:val="en-US" w:eastAsia="zh-CN"/>
              </w:rPr>
              <w:t>审核</w:t>
            </w:r>
            <w:r>
              <w:rPr>
                <w:rFonts w:hint="eastAsia"/>
                <w:color w:val="000000" w:themeColor="text1"/>
                <w:sz w:val="20"/>
                <w:szCs w:val="20"/>
              </w:rPr>
              <w:t>部、</w:t>
            </w:r>
            <w:r>
              <w:rPr>
                <w:rFonts w:hint="eastAsia"/>
                <w:color w:val="000000" w:themeColor="text1"/>
                <w:sz w:val="20"/>
                <w:szCs w:val="20"/>
                <w:lang w:val="en-US" w:eastAsia="zh-CN"/>
              </w:rPr>
              <w:t>培训</w:t>
            </w:r>
            <w:r>
              <w:rPr>
                <w:rFonts w:hint="eastAsia"/>
                <w:color w:val="000000" w:themeColor="text1"/>
                <w:sz w:val="20"/>
                <w:szCs w:val="20"/>
              </w:rPr>
              <w:t>部、管理层审核记录与计划相一致，内审员经内部培训合格，能力还需加强；</w:t>
            </w:r>
          </w:p>
          <w:p>
            <w:pPr>
              <w:ind w:firstLine="400" w:firstLineChars="200"/>
              <w:rPr>
                <w:b/>
                <w:color w:val="000000" w:themeColor="text1"/>
                <w:sz w:val="20"/>
                <w:szCs w:val="20"/>
              </w:rPr>
            </w:pPr>
            <w:r>
              <w:rPr>
                <w:rFonts w:hint="eastAsia"/>
                <w:color w:val="000000" w:themeColor="text1"/>
                <w:sz w:val="20"/>
                <w:szCs w:val="20"/>
              </w:rPr>
              <w:t>内部审核结论：提供了《内部审核报告》，对现场审核进行了综述，对质量环境安全管理体系进行了符合性的综合评价，最后结论为：本公司管理体系是符合ISO9001:2015《质量管理体系 要求》、ISO45001:2018《职业健康安全管理体系——要求》和ISO14001:2015《环境管理体系——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w:t>
            </w:r>
            <w:r>
              <w:rPr>
                <w:rFonts w:hint="eastAsia" w:ascii="宋体" w:hAnsi="宋体" w:cs="宋体"/>
                <w:szCs w:val="21"/>
              </w:rPr>
              <w:t>ISO45001:2018标准进行管理评审。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一、管理评审，评审时间：</w:t>
            </w:r>
            <w:r>
              <w:rPr>
                <w:rFonts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月1</w:t>
            </w:r>
            <w:r>
              <w:rPr>
                <w:rFonts w:hint="eastAsia" w:ascii="宋体" w:hAnsi="宋体" w:cs="宋体"/>
                <w:szCs w:val="21"/>
                <w:lang w:val="en-US" w:eastAsia="zh-CN"/>
              </w:rPr>
              <w:t>2</w:t>
            </w:r>
            <w:r>
              <w:rPr>
                <w:rFonts w:hint="eastAsia" w:ascii="宋体" w:hAnsi="宋体" w:cs="宋体"/>
                <w:szCs w:val="21"/>
              </w:rPr>
              <w:t>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rFonts w:ascii="宋体"/>
                <w:szCs w:val="21"/>
              </w:rPr>
            </w:pPr>
            <w:r>
              <w:rPr>
                <w:rFonts w:hint="eastAsia" w:ascii="宋体" w:hAnsi="宋体"/>
              </w:rPr>
              <w:t>公司的管理体系是适宜的、充分的和有效的，达到了顾客满意和持续改进的目的</w:t>
            </w:r>
            <w:r>
              <w:rPr>
                <w:rFonts w:hint="eastAsia" w:ascii="宋体" w:hAnsi="宋体"/>
                <w:szCs w:val="21"/>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themeColor="text1"/>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p>
          <w:p>
            <w:pPr>
              <w:spacing w:line="240" w:lineRule="exact"/>
              <w:rPr>
                <w:rFonts w:hint="eastAsia" w:eastAsia="宋体"/>
                <w:b/>
                <w:color w:val="000000" w:themeColor="text1"/>
                <w:szCs w:val="21"/>
                <w:lang w:val="en-US" w:eastAsia="zh-CN"/>
              </w:rPr>
            </w:pPr>
            <w:r>
              <w:rPr>
                <w:rFonts w:hint="eastAsia"/>
                <w:b/>
                <w:color w:val="000000" w:themeColor="text1"/>
                <w:szCs w:val="21"/>
                <w:lang w:val="en-US" w:eastAsia="zh-CN"/>
              </w:rPr>
              <w:t>无</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严重不符合0项，一般不符合</w:t>
      </w:r>
      <w:r>
        <w:rPr>
          <w:rFonts w:hint="eastAsia"/>
          <w:b/>
          <w:color w:val="000000" w:themeColor="text1"/>
          <w:lang w:val="en-US" w:eastAsia="zh-CN"/>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MS Mincho" w:hAnsi="MS Mincho" w:eastAsia="MS Mincho" w:cs="MS Mincho"/>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3" w:leftChars="-337" w:hanging="515" w:hangingChars="271"/>
        <w:rPr>
          <w:rFonts w:ascii="宋体" w:hAnsi="宋体"/>
          <w:b/>
          <w:color w:val="000000" w:themeColor="text1"/>
          <w:szCs w:val="21"/>
        </w:rPr>
      </w:pPr>
      <w:r>
        <w:rPr>
          <w:rFonts w:hint="eastAsia" w:ascii="MS Mincho" w:hAnsi="MS Mincho" w:eastAsia="MS Mincho" w:cs="MS Mincho"/>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MS Mincho" w:hAnsi="MS Mincho" w:eastAsia="MS Mincho" w:cs="MS Mincho"/>
                <w:b/>
                <w:color w:val="000000" w:themeColor="text1"/>
                <w:spacing w:val="-10"/>
                <w:szCs w:val="21"/>
              </w:rPr>
              <w:t>☑</w:t>
            </w:r>
            <w:r>
              <w:rPr>
                <w:rFonts w:hint="eastAsia"/>
                <w:b/>
                <w:color w:val="000000" w:themeColor="text1"/>
                <w:sz w:val="22"/>
                <w:szCs w:val="22"/>
              </w:rPr>
              <w:t>QMS</w:t>
            </w:r>
            <w:r>
              <w:rPr>
                <w:rFonts w:hint="eastAsia" w:ascii="MS Mincho" w:hAnsi="MS Mincho" w:eastAsia="MS Mincho" w:cs="MS Mincho"/>
                <w:b/>
                <w:color w:val="000000" w:themeColor="text1"/>
                <w:spacing w:val="-10"/>
                <w:szCs w:val="21"/>
              </w:rPr>
              <w:t>☑</w:t>
            </w:r>
            <w:r>
              <w:rPr>
                <w:rFonts w:hint="eastAsia"/>
                <w:b/>
                <w:color w:val="000000" w:themeColor="text1"/>
                <w:sz w:val="22"/>
                <w:szCs w:val="22"/>
              </w:rPr>
              <w:t xml:space="preserve">EMS  </w:t>
            </w:r>
            <w:r>
              <w:rPr>
                <w:rFonts w:hint="eastAsia" w:ascii="MS Mincho" w:hAnsi="MS Mincho" w:eastAsia="MS Mincho" w:cs="MS Mincho"/>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ascii="MS Mincho" w:hAnsi="MS Mincho" w:eastAsia="MS Mincho" w:cs="MS Mincho"/>
                <w:b/>
                <w:color w:val="000000" w:themeColor="text1"/>
                <w:spacing w:val="-10"/>
                <w:szCs w:val="21"/>
              </w:rPr>
              <w:t>☑</w:t>
            </w:r>
            <w:r>
              <w:rPr>
                <w:rFonts w:hint="eastAsia"/>
                <w:b/>
                <w:color w:val="000000" w:themeColor="text1"/>
                <w:sz w:val="22"/>
                <w:szCs w:val="22"/>
              </w:rPr>
              <w:t xml:space="preserve">QMS  </w:t>
            </w:r>
            <w:r>
              <w:rPr>
                <w:rFonts w:hint="eastAsia" w:ascii="MS Mincho" w:hAnsi="MS Mincho" w:eastAsia="MS Mincho" w:cs="MS Mincho"/>
                <w:b/>
                <w:color w:val="000000" w:themeColor="text1"/>
                <w:spacing w:val="-10"/>
                <w:szCs w:val="21"/>
              </w:rPr>
              <w:t>☑</w:t>
            </w:r>
            <w:r>
              <w:rPr>
                <w:rFonts w:hint="eastAsia"/>
                <w:b/>
                <w:color w:val="000000" w:themeColor="text1"/>
                <w:sz w:val="22"/>
                <w:szCs w:val="22"/>
              </w:rPr>
              <w:t xml:space="preserve">EMS  </w:t>
            </w:r>
            <w:r>
              <w:rPr>
                <w:rFonts w:hint="eastAsia" w:ascii="MS Mincho" w:hAnsi="MS Mincho" w:eastAsia="MS Mincho" w:cs="MS Mincho"/>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r>
              <w:rPr>
                <w:rFonts w:hint="eastAsia"/>
              </w:rPr>
              <w:t>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MS Mincho" w:hAnsi="MS Mincho" w:eastAsia="MS Mincho" w:cs="MS Mincho"/>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ascii="宋体" w:hAnsi="宋体"/>
                <w:b/>
                <w:color w:val="000000" w:themeColor="text1"/>
                <w:u w:val="single"/>
              </w:rPr>
              <w:t xml:space="preserve"> </w:t>
            </w:r>
            <w:r>
              <w:t>安全生产技术服务、安全评价咨询、应急救援预案咨询、劳务派遣服务（限许可范围内）</w:t>
            </w:r>
          </w:p>
          <w:p>
            <w:pPr>
              <w:spacing w:line="320" w:lineRule="exact"/>
              <w:rPr>
                <w:rFonts w:ascii="宋体" w:hAnsi="宋体"/>
                <w:b/>
                <w:color w:val="000000" w:themeColor="text1"/>
                <w:u w:val="single"/>
              </w:rPr>
            </w:pPr>
          </w:p>
          <w:p>
            <w:pPr>
              <w:rPr>
                <w:rFonts w:ascii="宋体" w:hAnsi="宋体"/>
                <w:szCs w:val="21"/>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 xml:space="preserve"> </w:t>
            </w:r>
            <w:r>
              <w:t>安全生产技术服务、安全评价咨询、应急救援预案咨询、劳务派遣服务（限许可范围内）所涉及场所相关的环境管理活动</w:t>
            </w:r>
          </w:p>
          <w:p>
            <w:pPr>
              <w:spacing w:line="320" w:lineRule="exact"/>
              <w:rPr>
                <w:rFonts w:ascii="宋体" w:hAnsi="宋体"/>
                <w:b/>
                <w:color w:val="000000" w:themeColor="text1"/>
                <w:u w:val="single"/>
                <w:lang w:val="en-GB"/>
              </w:rPr>
            </w:pPr>
          </w:p>
          <w:p>
            <w:pPr>
              <w:rPr>
                <w:rFonts w:ascii="宋体" w:hAnsi="宋体"/>
                <w:b/>
                <w:color w:val="000000" w:themeColor="text1"/>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szCs w:val="21"/>
              </w:rPr>
              <w:t xml:space="preserve"> </w:t>
            </w:r>
            <w:r>
              <w:t>安全生产技术服务、安全评价咨询、应急救援预案咨询、劳务派遣服务（限许可范围内）所涉及场所相关的职业健康安全管理活动</w:t>
            </w:r>
          </w:p>
          <w:p>
            <w:pPr>
              <w:spacing w:line="32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MS Mincho" w:hAnsi="MS Mincho" w:eastAsia="MS Mincho" w:cs="MS Mincho"/>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MS Mincho" w:hAnsi="MS Mincho" w:eastAsia="MS Mincho" w:cs="MS Mincho"/>
                <w:b/>
                <w:color w:val="000000" w:themeColor="text1"/>
                <w:spacing w:val="-10"/>
                <w:szCs w:val="21"/>
              </w:rPr>
              <w:t>☑</w:t>
            </w:r>
            <w:r>
              <w:rPr>
                <w:rFonts w:hint="eastAsia"/>
                <w:b/>
                <w:color w:val="000000" w:themeColor="text1"/>
                <w:szCs w:val="21"/>
              </w:rPr>
              <w:t xml:space="preserve">QMS  </w:t>
            </w:r>
            <w:r>
              <w:rPr>
                <w:rFonts w:hint="eastAsia" w:ascii="MS Mincho" w:hAnsi="MS Mincho" w:eastAsia="MS Mincho" w:cs="MS Mincho"/>
                <w:b/>
                <w:color w:val="000000" w:themeColor="text1"/>
                <w:spacing w:val="-10"/>
                <w:szCs w:val="21"/>
              </w:rPr>
              <w:t>☑</w:t>
            </w:r>
            <w:r>
              <w:rPr>
                <w:rFonts w:hint="eastAsia"/>
                <w:b/>
                <w:color w:val="000000" w:themeColor="text1"/>
                <w:szCs w:val="21"/>
              </w:rPr>
              <w:t xml:space="preserve">EMS   </w:t>
            </w:r>
            <w:r>
              <w:rPr>
                <w:rFonts w:hint="eastAsia" w:ascii="MS Mincho" w:hAnsi="MS Mincho" w:eastAsia="MS Mincho" w:cs="MS Mincho"/>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drawing>
          <wp:anchor distT="0" distB="0" distL="114300" distR="114300" simplePos="0" relativeHeight="251662336" behindDoc="0" locked="0" layoutInCell="1" allowOverlap="1">
            <wp:simplePos x="0" y="0"/>
            <wp:positionH relativeFrom="column">
              <wp:posOffset>1489075</wp:posOffset>
            </wp:positionH>
            <wp:positionV relativeFrom="paragraph">
              <wp:posOffset>273685</wp:posOffset>
            </wp:positionV>
            <wp:extent cx="857250" cy="714375"/>
            <wp:effectExtent l="0" t="0" r="6350" b="9525"/>
            <wp:wrapNone/>
            <wp:docPr id="7"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用户目录\我的图片\伍光华\伍光华.png"/>
                    <pic:cNvPicPr>
                      <a:picLocks noChangeAspect="1" noChangeArrowheads="1"/>
                    </pic:cNvPicPr>
                  </pic:nvPicPr>
                  <pic:blipFill>
                    <a:blip r:embed="rId6"/>
                    <a:srcRect/>
                    <a:stretch>
                      <a:fillRect/>
                    </a:stretch>
                  </pic:blipFill>
                  <pic:spPr>
                    <a:xfrm>
                      <a:off x="0" y="0"/>
                      <a:ext cx="857250" cy="71437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bookmarkStart w:id="22" w:name="_GoBack"/>
      <w:bookmarkEnd w:id="22"/>
    </w:p>
    <w:p>
      <w:pPr>
        <w:snapToGrid w:val="0"/>
        <w:spacing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1607185</wp:posOffset>
            </wp:positionH>
            <wp:positionV relativeFrom="paragraph">
              <wp:posOffset>13970</wp:posOffset>
            </wp:positionV>
            <wp:extent cx="838835" cy="549910"/>
            <wp:effectExtent l="0" t="0" r="12065" b="8890"/>
            <wp:wrapNone/>
            <wp:docPr id="5" name="图片 5" descr="34a49a556974bf51a9f3203c9ccc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4a49a556974bf51a9f3203c9cccc1b"/>
                    <pic:cNvPicPr>
                      <a:picLocks noChangeAspect="1"/>
                    </pic:cNvPicPr>
                  </pic:nvPicPr>
                  <pic:blipFill>
                    <a:blip r:embed="rId7"/>
                    <a:stretch>
                      <a:fillRect/>
                    </a:stretch>
                  </pic:blipFill>
                  <pic:spPr>
                    <a:xfrm>
                      <a:off x="0" y="0"/>
                      <a:ext cx="838835" cy="549910"/>
                    </a:xfrm>
                    <a:prstGeom prst="rect">
                      <a:avLst/>
                    </a:prstGeom>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w:t>
      </w:r>
      <w:r>
        <w:rPr>
          <w:rFonts w:hint="eastAsia"/>
          <w:b/>
          <w:color w:val="000000" w:themeColor="text1"/>
          <w:lang w:val="en-US" w:eastAsia="zh-CN"/>
        </w:rPr>
        <w:t>1</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6  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MS Mincho" w:hAnsi="MS Mincho" w:eastAsia="MS Mincho" w:cs="MS Mincho"/>
          <w:b/>
          <w:color w:val="000000" w:themeColor="text1"/>
          <w:spacing w:val="-10"/>
          <w:szCs w:val="21"/>
        </w:rPr>
        <w:t>☑</w:t>
      </w:r>
      <w:r>
        <w:rPr>
          <w:rFonts w:hint="eastAsia"/>
          <w:b/>
          <w:color w:val="000000" w:themeColor="text1"/>
          <w:szCs w:val="21"/>
        </w:rPr>
        <w:t>EMS(  1 )个一般不符合，(  )个严重不符合，</w:t>
      </w:r>
      <w:r>
        <w:rPr>
          <w:rFonts w:hint="eastAsia" w:ascii="MS Mincho" w:hAnsi="MS Mincho" w:eastAsia="MS Mincho" w:cs="MS Mincho"/>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MS Mincho" w:hAnsi="MS Mincho" w:eastAsia="MS Mincho" w:cs="MS Mincho"/>
          <w:b/>
          <w:color w:val="000000" w:themeColor="text1"/>
          <w:spacing w:val="-10"/>
          <w:szCs w:val="21"/>
        </w:rPr>
        <w:t>☑</w:t>
      </w:r>
      <w:r>
        <w:rPr>
          <w:rFonts w:hint="eastAsia"/>
          <w:b/>
          <w:color w:val="000000" w:themeColor="text1"/>
          <w:szCs w:val="21"/>
        </w:rPr>
        <w:t>OHSMS(  1 )个一般不符合，(  )个严重不符合，</w:t>
      </w:r>
      <w:r>
        <w:rPr>
          <w:rFonts w:hint="eastAsia" w:ascii="MS Mincho" w:hAnsi="MS Mincho" w:eastAsia="MS Mincho" w:cs="MS Mincho"/>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0" w:firstLineChars="400"/>
        <w:rPr>
          <w:b/>
          <w:color w:val="000000" w:themeColor="text1"/>
          <w:szCs w:val="21"/>
        </w:rPr>
      </w:pPr>
      <w:r>
        <w:rPr>
          <w:rFonts w:hint="eastAsia" w:ascii="MS Mincho" w:hAnsi="MS Mincho" w:eastAsia="MS Mincho" w:cs="MS Mincho"/>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 w:val="26"/>
          <w:szCs w:val="26"/>
        </w:rPr>
        <w:drawing>
          <wp:anchor distT="0" distB="0" distL="114300" distR="114300" simplePos="0" relativeHeight="251663360" behindDoc="0" locked="0" layoutInCell="1" allowOverlap="1">
            <wp:simplePos x="0" y="0"/>
            <wp:positionH relativeFrom="column">
              <wp:posOffset>650875</wp:posOffset>
            </wp:positionH>
            <wp:positionV relativeFrom="paragraph">
              <wp:posOffset>78105</wp:posOffset>
            </wp:positionV>
            <wp:extent cx="857250" cy="714375"/>
            <wp:effectExtent l="0" t="0" r="6350" b="9525"/>
            <wp:wrapNone/>
            <wp:docPr id="4"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用户目录\我的图片\伍光华\伍光华.png"/>
                    <pic:cNvPicPr>
                      <a:picLocks noChangeAspect="1" noChangeArrowheads="1"/>
                    </pic:cNvPicPr>
                  </pic:nvPicPr>
                  <pic:blipFill>
                    <a:blip r:embed="rId6"/>
                    <a:srcRect/>
                    <a:stretch>
                      <a:fillRect/>
                    </a:stretch>
                  </pic:blipFill>
                  <pic:spPr>
                    <a:xfrm>
                      <a:off x="0" y="0"/>
                      <a:ext cx="857250" cy="714375"/>
                    </a:xfrm>
                    <a:prstGeom prst="rect">
                      <a:avLst/>
                    </a:prstGeom>
                    <a:noFill/>
                    <a:ln w="9525">
                      <a:noFill/>
                      <a:miter lim="800000"/>
                      <a:headEnd/>
                      <a:tailEnd/>
                    </a:ln>
                  </pic:spPr>
                </pic:pic>
              </a:graphicData>
            </a:graphic>
          </wp:anchor>
        </w:drawing>
      </w:r>
      <w:r>
        <w:rPr>
          <w:rFonts w:hint="eastAsia"/>
          <w:b/>
          <w:color w:val="000000" w:themeColor="text1"/>
          <w:szCs w:val="21"/>
        </w:rPr>
        <w:t>组长签字:                    日期:    202</w:t>
      </w:r>
      <w:r>
        <w:rPr>
          <w:rFonts w:hint="eastAsia"/>
          <w:b/>
          <w:color w:val="000000" w:themeColor="text1"/>
          <w:szCs w:val="21"/>
          <w:lang w:val="en-US" w:eastAsia="zh-CN"/>
        </w:rPr>
        <w:t>1</w:t>
      </w:r>
      <w:r>
        <w:rPr>
          <w:rFonts w:hint="eastAsia"/>
          <w:b/>
          <w:color w:val="000000" w:themeColor="text1"/>
          <w:szCs w:val="21"/>
        </w:rPr>
        <w:t xml:space="preserve"> 年 </w:t>
      </w:r>
      <w:r>
        <w:rPr>
          <w:rFonts w:hint="eastAsia"/>
          <w:b/>
          <w:color w:val="000000" w:themeColor="text1"/>
          <w:szCs w:val="21"/>
          <w:lang w:val="en-US" w:eastAsia="zh-CN"/>
        </w:rPr>
        <w:t>4</w:t>
      </w:r>
      <w:r>
        <w:rPr>
          <w:rFonts w:hint="eastAsia"/>
          <w:b/>
          <w:color w:val="000000" w:themeColor="text1"/>
          <w:szCs w:val="21"/>
        </w:rPr>
        <w:t xml:space="preserve"> 月 </w:t>
      </w:r>
      <w:r>
        <w:rPr>
          <w:rFonts w:hint="eastAsia"/>
          <w:b/>
          <w:color w:val="000000" w:themeColor="text1"/>
          <w:szCs w:val="21"/>
          <w:lang w:val="en-US" w:eastAsia="zh-CN"/>
        </w:rPr>
        <w:t>27</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认证评定负责人：日期：      年   月   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隶书">
    <w:panose1 w:val="0201050906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2E1012"/>
    <w:rsid w:val="3AD831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w:basedOn w:val="1"/>
    <w:semiHidden/>
    <w:unhideWhenUsed/>
    <w:qFormat/>
    <w:uiPriority w:val="99"/>
    <w:pPr>
      <w:spacing w:after="120"/>
    </w:pPr>
  </w:style>
  <w:style w:type="paragraph" w:styleId="5">
    <w:name w:val="Body Text Indent"/>
    <w:basedOn w:val="1"/>
    <w:qFormat/>
    <w:uiPriority w:val="0"/>
    <w:pPr>
      <w:adjustRightInd w:val="0"/>
      <w:spacing w:line="360" w:lineRule="atLeast"/>
      <w:ind w:left="1077"/>
      <w:textAlignment w:val="baseline"/>
    </w:pPr>
    <w:rPr>
      <w:b/>
      <w:kern w:val="0"/>
    </w:rPr>
  </w:style>
  <w:style w:type="paragraph" w:styleId="6">
    <w:name w:val="Balloon Text"/>
    <w:basedOn w:val="1"/>
    <w:link w:val="16"/>
    <w:semiHidden/>
    <w:unhideWhenUsed/>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2"/>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2021-04-25T08:00:43Z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FB0CC3C98AF64CCF99B36CFB2305E865</vt:lpwstr>
  </property>
</Properties>
</file>