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河北福茂机械设备制造有限公司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17.06.01,17.10.02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刘本胜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17.06.01,17.10.02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610" w:firstLineChars="10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河北福茂机械设备制造有限公司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唐山市开平区郑庄子镇于家新房子村西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063020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河北省唐山市开平区郑庄子镇于家新房子村西</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063020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李旭</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15032566161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0315-7826666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张军霞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金属结构件、冶金机械配件的加工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17.06.01;17.10.02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16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7161"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7161"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7161"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8.5 </w:t>
            </w:r>
            <w:r>
              <w:rPr>
                <w:rFonts w:hint="eastAsia" w:ascii="楷体" w:hAnsi="楷体" w:eastAsia="楷体" w:cs="楷体"/>
                <w:sz w:val="21"/>
                <w:szCs w:val="21"/>
                <w:lang w:val="en-US" w:eastAsia="zh-CN"/>
              </w:rPr>
              <w:t>1/8.5.2/8.5.4/8.5.6/</w:t>
            </w:r>
            <w:r>
              <w:rPr>
                <w:rFonts w:hint="eastAsia" w:ascii="楷体" w:hAnsi="楷体" w:eastAsia="楷体" w:cs="楷体"/>
                <w:sz w:val="21"/>
                <w:szCs w:val="21"/>
              </w:rPr>
              <w:t xml:space="preserve"> 8.7</w:t>
            </w:r>
            <w:r>
              <w:rPr>
                <w:rFonts w:hint="eastAsia" w:ascii="楷体" w:hAnsi="楷体" w:eastAsia="楷体" w:cs="楷体"/>
                <w:sz w:val="21"/>
                <w:szCs w:val="21"/>
                <w:lang w:val="en-US" w:eastAsia="zh-CN"/>
              </w:rPr>
              <w:t>/</w:t>
            </w:r>
            <w:r>
              <w:rPr>
                <w:rFonts w:hint="eastAsia" w:ascii="楷体" w:hAnsi="楷体" w:eastAsia="楷体" w:cs="楷体"/>
                <w:sz w:val="21"/>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7161"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/7.1.5/8.6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 xml:space="preserve">         供销部</w:t>
            </w:r>
          </w:p>
        </w:tc>
        <w:tc>
          <w:tcPr>
            <w:tcW w:w="7161" w:type="dxa"/>
          </w:tcPr>
          <w:p>
            <w:pPr>
              <w:rPr>
                <w:rFonts w:ascii="宋体" w:hAnsi="宋体"/>
                <w:b/>
                <w:color w:val="000000" w:themeColor="text1"/>
                <w:spacing w:val="-20"/>
                <w:szCs w:val="21"/>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9.1.2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68"/>
        <w:gridCol w:w="829"/>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68"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29" w:type="dxa"/>
          </w:tcPr>
          <w:p>
            <w:pPr>
              <w:rPr>
                <w:b/>
                <w:color w:val="000000" w:themeColor="text1"/>
                <w:sz w:val="20"/>
                <w:szCs w:val="20"/>
              </w:rPr>
            </w:pPr>
            <w:r>
              <w:rPr>
                <w:rFonts w:hint="eastAsia"/>
                <w:b/>
                <w:color w:val="000000" w:themeColor="text1"/>
                <w:sz w:val="20"/>
                <w:szCs w:val="20"/>
              </w:rPr>
              <w:t>规格</w:t>
            </w:r>
          </w:p>
        </w:tc>
        <w:tc>
          <w:tcPr>
            <w:tcW w:w="5808"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bCs/>
                <w:sz w:val="21"/>
                <w:szCs w:val="21"/>
              </w:rPr>
              <w:t>金属结构件、冶金机械配件的加工</w:t>
            </w:r>
          </w:p>
        </w:tc>
        <w:tc>
          <w:tcPr>
            <w:tcW w:w="1268"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82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5808" w:type="dxa"/>
          </w:tcPr>
          <w:p>
            <w:pPr>
              <w:rPr>
                <w:b/>
                <w:color w:val="000000" w:themeColor="text1"/>
                <w:sz w:val="20"/>
                <w:szCs w:val="20"/>
              </w:rPr>
            </w:pPr>
            <w:r>
              <w:rPr>
                <w:rFonts w:hint="eastAsia" w:ascii="楷体" w:hAnsi="楷体" w:eastAsia="楷体" w:cs="楷体"/>
                <w:sz w:val="21"/>
                <w:szCs w:val="21"/>
              </w:rPr>
              <w:t>机械加工通用规范、客户要求、图纸、机械加工手册、机械加工通用技术规范、机械加工通用检验规范、GB/T4656-1984 《金属结构件表示法》</w:t>
            </w:r>
            <w:r>
              <w:rPr>
                <w:rFonts w:hint="eastAsia" w:ascii="楷体" w:hAnsi="楷体" w:eastAsia="楷体" w:cs="楷体"/>
                <w:sz w:val="21"/>
                <w:szCs w:val="21"/>
                <w:lang w:eastAsia="zh-CN"/>
              </w:rPr>
              <w:t>、</w:t>
            </w:r>
            <w:r>
              <w:rPr>
                <w:rFonts w:hint="eastAsia" w:ascii="楷体" w:hAnsi="楷体" w:eastAsia="楷体" w:cs="楷体"/>
                <w:sz w:val="21"/>
                <w:szCs w:val="21"/>
              </w:rPr>
              <w:t>GB/T 19867.2-2008 《气焊焊接工艺规程》、GB/T 19804-2005《焊接结构的一般尺寸公差和形位公差》、GB/T 324-2008 《焊缝符号表示法》、GB/T 1184-1996《形状和位置公差 未注公差值》、GB/T 1804-2000《一般公差 未注公差的线性和角度尺寸的公差》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p>
        </w:tc>
        <w:tc>
          <w:tcPr>
            <w:tcW w:w="1268" w:type="dxa"/>
          </w:tcPr>
          <w:p>
            <w:pPr>
              <w:rPr>
                <w:b/>
                <w:color w:val="000000" w:themeColor="text1"/>
                <w:sz w:val="20"/>
                <w:szCs w:val="20"/>
              </w:rPr>
            </w:pPr>
          </w:p>
        </w:tc>
        <w:tc>
          <w:tcPr>
            <w:tcW w:w="829" w:type="dxa"/>
          </w:tcPr>
          <w:p>
            <w:pPr>
              <w:rPr>
                <w:b/>
                <w:color w:val="000000" w:themeColor="text1"/>
                <w:sz w:val="20"/>
                <w:szCs w:val="20"/>
              </w:rPr>
            </w:pPr>
          </w:p>
        </w:tc>
        <w:tc>
          <w:tcPr>
            <w:tcW w:w="5808"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68" w:type="dxa"/>
          </w:tcPr>
          <w:p>
            <w:pPr>
              <w:rPr>
                <w:b/>
                <w:color w:val="000000" w:themeColor="text1"/>
                <w:sz w:val="20"/>
                <w:szCs w:val="20"/>
              </w:rPr>
            </w:pPr>
          </w:p>
        </w:tc>
        <w:tc>
          <w:tcPr>
            <w:tcW w:w="829" w:type="dxa"/>
          </w:tcPr>
          <w:p>
            <w:pPr>
              <w:rPr>
                <w:b/>
                <w:color w:val="000000" w:themeColor="text1"/>
                <w:sz w:val="20"/>
                <w:szCs w:val="20"/>
              </w:rPr>
            </w:pPr>
          </w:p>
        </w:tc>
        <w:tc>
          <w:tcPr>
            <w:tcW w:w="5808"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68" w:type="dxa"/>
          </w:tcPr>
          <w:p>
            <w:pPr>
              <w:rPr>
                <w:b/>
                <w:color w:val="000000" w:themeColor="text1"/>
                <w:sz w:val="20"/>
                <w:szCs w:val="20"/>
              </w:rPr>
            </w:pPr>
          </w:p>
        </w:tc>
        <w:tc>
          <w:tcPr>
            <w:tcW w:w="829" w:type="dxa"/>
          </w:tcPr>
          <w:p>
            <w:pPr>
              <w:rPr>
                <w:b/>
                <w:color w:val="000000" w:themeColor="text1"/>
                <w:sz w:val="20"/>
                <w:szCs w:val="20"/>
              </w:rPr>
            </w:pPr>
          </w:p>
        </w:tc>
        <w:tc>
          <w:tcPr>
            <w:tcW w:w="5808"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楷体" w:hAnsi="楷体" w:eastAsia="楷体" w:cs="楷体"/>
                <w:kern w:val="0"/>
                <w:sz w:val="21"/>
                <w:szCs w:val="21"/>
              </w:rPr>
            </w:pPr>
            <w:r>
              <w:rPr>
                <w:rFonts w:hint="eastAsia" w:ascii="楷体" w:hAnsi="楷体" w:eastAsia="楷体" w:cs="楷体"/>
                <w:sz w:val="21"/>
                <w:szCs w:val="21"/>
              </w:rPr>
              <w:t>●企业通过监视和评审内外部信息：</w:t>
            </w:r>
          </w:p>
          <w:p>
            <w:pPr>
              <w:rPr>
                <w:rFonts w:hint="eastAsia" w:ascii="楷体" w:hAnsi="楷体" w:eastAsia="楷体" w:cs="楷体"/>
                <w:sz w:val="21"/>
                <w:szCs w:val="21"/>
              </w:rPr>
            </w:pPr>
            <w:r>
              <w:rPr>
                <w:rFonts w:hint="eastAsia" w:ascii="楷体" w:hAnsi="楷体" w:eastAsia="楷体" w:cs="楷体"/>
                <w:sz w:val="21"/>
                <w:szCs w:val="21"/>
              </w:rPr>
              <w:t>1、最高管理层定期对各职能部门收集的信息进行讨论研究确定</w:t>
            </w:r>
          </w:p>
          <w:p>
            <w:pPr>
              <w:rPr>
                <w:rFonts w:hint="eastAsia" w:ascii="楷体" w:hAnsi="楷体" w:eastAsia="楷体" w:cs="楷体"/>
                <w:sz w:val="21"/>
                <w:szCs w:val="21"/>
              </w:rPr>
            </w:pPr>
            <w:r>
              <w:rPr>
                <w:rFonts w:hint="eastAsia" w:ascii="楷体" w:hAnsi="楷体" w:eastAsia="楷体" w:cs="楷体"/>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lang w:val="en-US"/>
              </w:rPr>
            </w:pPr>
            <w:r>
              <w:rPr>
                <w:rFonts w:hint="eastAsia" w:ascii="楷体" w:hAnsi="楷体" w:eastAsia="楷体" w:cs="楷体"/>
                <w:sz w:val="21"/>
                <w:szCs w:val="21"/>
              </w:rPr>
              <w:t>3、目前主要识别出的外部环境有：行业市场的竞争、价格的竞争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原材料涨价（特别是进入2021年以来钢材涨价幅度近100%）、人工成本上升等</w:t>
            </w:r>
          </w:p>
          <w:p>
            <w:pPr>
              <w:rPr>
                <w:rFonts w:hint="eastAsia" w:ascii="楷体" w:hAnsi="楷体" w:eastAsia="楷体" w:cs="楷体"/>
                <w:sz w:val="21"/>
                <w:szCs w:val="21"/>
              </w:rPr>
            </w:pPr>
            <w:r>
              <w:rPr>
                <w:rFonts w:hint="eastAsia" w:ascii="楷体" w:hAnsi="楷体" w:eastAsia="楷体" w:cs="楷体"/>
                <w:sz w:val="21"/>
                <w:szCs w:val="21"/>
              </w:rPr>
              <w:t>4、促进内部环境的改善；⑴通过贯标强化企业管理的规范化、程序化；⑵加强内部管理，降低成本。</w:t>
            </w:r>
          </w:p>
          <w:p>
            <w:pPr>
              <w:rPr>
                <w:rFonts w:hint="eastAsia" w:ascii="楷体" w:hAnsi="楷体" w:eastAsia="楷体" w:cs="楷体"/>
                <w:sz w:val="21"/>
                <w:szCs w:val="21"/>
              </w:rPr>
            </w:pPr>
            <w:r>
              <w:rPr>
                <w:rFonts w:hint="eastAsia" w:ascii="楷体" w:hAnsi="楷体" w:eastAsia="楷体" w:cs="楷体"/>
                <w:sz w:val="21"/>
                <w:szCs w:val="21"/>
              </w:rPr>
              <w:t>5、企业内部优势：员工从事该行业多年。产品采购、生产、销售均按照国家、行业标准要求执行。赢得了客户，赢得了市场。</w:t>
            </w:r>
          </w:p>
          <w:p>
            <w:pPr>
              <w:spacing w:line="240" w:lineRule="exact"/>
              <w:rPr>
                <w:rFonts w:hint="eastAsia"/>
                <w:b/>
                <w:color w:val="000000" w:themeColor="text1"/>
                <w:sz w:val="20"/>
                <w:szCs w:val="20"/>
              </w:rPr>
            </w:pPr>
            <w:r>
              <w:rPr>
                <w:rFonts w:hint="eastAsia" w:ascii="楷体" w:hAnsi="楷体" w:eastAsia="楷体" w:cs="楷体"/>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rPr>
                <w:rFonts w:hint="eastAsia" w:ascii="楷体" w:hAnsi="楷体" w:eastAsia="楷体" w:cs="楷体"/>
                <w:sz w:val="21"/>
                <w:szCs w:val="21"/>
              </w:rPr>
            </w:pPr>
            <w:r>
              <w:rPr>
                <w:rFonts w:hint="eastAsia" w:ascii="楷体" w:hAnsi="楷体" w:eastAsia="楷体" w:cs="楷体"/>
                <w:sz w:val="21"/>
                <w:szCs w:val="21"/>
              </w:rPr>
              <w:t>●公司确定了与质量管理体系有关的相关方包括</w:t>
            </w:r>
            <w:r>
              <w:rPr>
                <w:rFonts w:hint="eastAsia" w:ascii="楷体" w:hAnsi="楷体" w:eastAsia="楷体" w:cs="楷体"/>
                <w:color w:val="000000"/>
                <w:kern w:val="0"/>
                <w:sz w:val="21"/>
                <w:szCs w:val="21"/>
              </w:rPr>
              <w:t>；</w:t>
            </w:r>
            <w:r>
              <w:rPr>
                <w:rFonts w:hint="eastAsia" w:ascii="楷体" w:hAnsi="楷体" w:eastAsia="楷体" w:cs="楷体"/>
                <w:sz w:val="21"/>
                <w:szCs w:val="21"/>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rPr>
            </w:pPr>
            <w:r>
              <w:rPr>
                <w:rFonts w:hint="eastAsia" w:ascii="楷体" w:hAnsi="楷体" w:eastAsia="楷体" w:cs="楷体"/>
                <w:sz w:val="21"/>
                <w:szCs w:val="21"/>
              </w:rPr>
              <w:t>●相关方对企业的要求有：如：</w:t>
            </w:r>
          </w:p>
          <w:p>
            <w:pPr>
              <w:rPr>
                <w:rFonts w:hint="eastAsia" w:ascii="楷体" w:hAnsi="楷体" w:eastAsia="楷体" w:cs="楷体"/>
                <w:sz w:val="21"/>
                <w:szCs w:val="21"/>
              </w:rPr>
            </w:pPr>
            <w:r>
              <w:rPr>
                <w:rFonts w:hint="eastAsia" w:ascii="楷体" w:hAnsi="楷体" w:eastAsia="楷体" w:cs="楷体"/>
                <w:sz w:val="21"/>
                <w:szCs w:val="21"/>
              </w:rPr>
              <w:t>顾客：①产品质量满足客户及法律法规要求，②及时供货；</w:t>
            </w:r>
          </w:p>
          <w:p>
            <w:pPr>
              <w:rPr>
                <w:rFonts w:hint="eastAsia" w:ascii="楷体" w:hAnsi="楷体" w:eastAsia="楷体" w:cs="楷体"/>
                <w:sz w:val="21"/>
                <w:szCs w:val="21"/>
              </w:rPr>
            </w:pPr>
            <w:r>
              <w:rPr>
                <w:rFonts w:hint="eastAsia" w:ascii="楷体" w:hAnsi="楷体" w:eastAsia="楷体" w:cs="楷体"/>
                <w:sz w:val="21"/>
                <w:szCs w:val="21"/>
              </w:rPr>
              <w:t>供方：①银行及时打款等等。</w:t>
            </w:r>
          </w:p>
          <w:p>
            <w:pPr>
              <w:rPr>
                <w:rFonts w:hint="eastAsia" w:ascii="楷体" w:hAnsi="楷体" w:eastAsia="楷体" w:cs="楷体"/>
                <w:sz w:val="21"/>
                <w:szCs w:val="21"/>
              </w:rPr>
            </w:pPr>
            <w:r>
              <w:rPr>
                <w:rFonts w:hint="eastAsia" w:ascii="楷体" w:hAnsi="楷体" w:eastAsia="楷体" w:cs="楷体"/>
                <w:sz w:val="21"/>
                <w:szCs w:val="21"/>
              </w:rPr>
              <w:t>●公司通过以下行为满足相关方需求和期望：</w:t>
            </w:r>
          </w:p>
          <w:p>
            <w:pPr>
              <w:rPr>
                <w:rFonts w:hint="eastAsia" w:ascii="楷体" w:hAnsi="楷体" w:eastAsia="楷体" w:cs="楷体"/>
                <w:sz w:val="21"/>
                <w:szCs w:val="21"/>
              </w:rPr>
            </w:pPr>
            <w:r>
              <w:rPr>
                <w:rFonts w:hint="eastAsia" w:ascii="楷体" w:hAnsi="楷体" w:eastAsia="楷体" w:cs="楷体"/>
                <w:sz w:val="21"/>
                <w:szCs w:val="21"/>
              </w:rPr>
              <w:t>——关注顾客需求，通过持续改进增强用户满意；</w:t>
            </w:r>
          </w:p>
          <w:p>
            <w:pPr>
              <w:rPr>
                <w:rFonts w:hint="eastAsia" w:ascii="楷体" w:hAnsi="楷体" w:eastAsia="楷体" w:cs="楷体"/>
                <w:sz w:val="21"/>
                <w:szCs w:val="21"/>
              </w:rPr>
            </w:pPr>
            <w:r>
              <w:rPr>
                <w:rFonts w:hint="eastAsia" w:ascii="楷体" w:hAnsi="楷体" w:eastAsia="楷体" w:cs="楷体"/>
                <w:sz w:val="21"/>
                <w:szCs w:val="21"/>
              </w:rPr>
              <w:t>——持续改进管理体系过程，提升质量绩效。</w:t>
            </w:r>
          </w:p>
          <w:p>
            <w:pPr>
              <w:rPr>
                <w:rFonts w:hint="eastAsia" w:ascii="楷体" w:hAnsi="楷体" w:eastAsia="楷体" w:cs="楷体"/>
                <w:sz w:val="21"/>
                <w:szCs w:val="21"/>
              </w:rPr>
            </w:pPr>
            <w:r>
              <w:rPr>
                <w:rFonts w:hint="eastAsia" w:ascii="楷体" w:hAnsi="楷体" w:eastAsia="楷体" w:cs="楷体"/>
                <w:sz w:val="21"/>
                <w:szCs w:val="21"/>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rFonts w:hint="eastAsia" w:ascii="楷体" w:hAnsi="楷体" w:eastAsia="楷体" w:cs="楷体"/>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楷体" w:hAnsi="楷体" w:eastAsia="楷体" w:cs="楷体"/>
                <w:sz w:val="21"/>
                <w:szCs w:val="21"/>
              </w:rPr>
            </w:pPr>
            <w:r>
              <w:rPr>
                <w:rFonts w:hint="eastAsia" w:ascii="楷体" w:hAnsi="楷体" w:eastAsia="楷体" w:cs="楷体"/>
                <w:sz w:val="21"/>
                <w:szCs w:val="21"/>
              </w:rPr>
              <w:t>●公司为保证管理体系持续满足要求，经管理者代表组织员工按总经理对方针、目标的要求，进行了讨论，形成了公司的方针和目标，并经过了总经理批准。</w:t>
            </w:r>
          </w:p>
          <w:p>
            <w:pPr>
              <w:rPr>
                <w:rFonts w:hint="eastAsia" w:ascii="楷体" w:hAnsi="楷体" w:eastAsia="楷体" w:cs="楷体"/>
                <w:sz w:val="21"/>
                <w:szCs w:val="21"/>
              </w:rPr>
            </w:pPr>
            <w:r>
              <w:rPr>
                <w:rFonts w:hint="eastAsia" w:ascii="楷体" w:hAnsi="楷体" w:eastAsia="楷体" w:cs="楷体"/>
                <w:sz w:val="21"/>
                <w:szCs w:val="21"/>
              </w:rPr>
              <w:t>●质量方针：</w:t>
            </w:r>
          </w:p>
          <w:p>
            <w:pPr>
              <w:spacing w:line="240" w:lineRule="exact"/>
              <w:ind w:left="199" w:leftChars="95"/>
              <w:rPr>
                <w:b/>
                <w:color w:val="000000" w:themeColor="text1"/>
              </w:rPr>
            </w:pPr>
            <w:r>
              <w:rPr>
                <w:rFonts w:hint="eastAsia" w:ascii="楷体" w:hAnsi="楷体" w:eastAsia="楷体" w:cs="楷体"/>
                <w:sz w:val="21"/>
                <w:szCs w:val="21"/>
              </w:rPr>
              <w:t>质量第一，用户至上，恪守信誉，竭诚服务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rFonts w:hint="eastAsia"/>
              </w:rPr>
            </w:pPr>
            <w:r>
              <w:rPr>
                <w:rFonts w:hint="eastAsia"/>
              </w:rPr>
              <w:t>风险识别与控制策划（QMS）</w:t>
            </w:r>
          </w:p>
          <w:p>
            <w:pPr>
              <w:rPr>
                <w:rFonts w:hint="eastAsia" w:ascii="楷体" w:hAnsi="楷体" w:eastAsia="楷体" w:cs="楷体"/>
                <w:sz w:val="21"/>
                <w:szCs w:val="21"/>
              </w:rPr>
            </w:pPr>
            <w:r>
              <w:rPr>
                <w:rFonts w:hint="eastAsia" w:ascii="楷体" w:hAnsi="楷体" w:eastAsia="楷体" w:cs="楷体"/>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李旭</w:t>
            </w:r>
            <w:r>
              <w:rPr>
                <w:rFonts w:hint="eastAsia" w:ascii="楷体" w:hAnsi="楷体" w:eastAsia="楷体" w:cs="楷体"/>
                <w:sz w:val="21"/>
                <w:szCs w:val="21"/>
              </w:rPr>
              <w:t>总经理介绍：在策划管理体系时，领导层考虑了公司运行标准所处的环境，包括上述4.1识别的内外部环境。手册里有对风险和机遇应对控制的要求。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rPr>
            </w:pPr>
            <w:r>
              <w:rPr>
                <w:rFonts w:hint="eastAsia" w:ascii="楷体" w:hAnsi="楷体" w:eastAsia="楷体" w:cs="楷体"/>
                <w:sz w:val="21"/>
                <w:szCs w:val="21"/>
              </w:rPr>
              <w:t>●公司面临的风险和机遇主要是：国家产品结构调整，</w:t>
            </w:r>
            <w:r>
              <w:rPr>
                <w:rFonts w:hint="eastAsia" w:ascii="楷体" w:hAnsi="楷体" w:eastAsia="楷体" w:cs="楷体"/>
                <w:sz w:val="21"/>
                <w:szCs w:val="21"/>
                <w:lang w:val="en-US" w:eastAsia="zh-CN"/>
              </w:rPr>
              <w:t>机械加工</w:t>
            </w:r>
            <w:r>
              <w:rPr>
                <w:rFonts w:hint="eastAsia" w:ascii="楷体" w:hAnsi="楷体" w:eastAsia="楷体" w:cs="楷体"/>
                <w:sz w:val="21"/>
                <w:szCs w:val="21"/>
              </w:rPr>
              <w:t>行业运行成本增加，疫情和政治因素导致的市场低迷，回款困难，原辅材料涨价</w:t>
            </w:r>
            <w:r>
              <w:rPr>
                <w:rFonts w:hint="eastAsia" w:ascii="楷体" w:hAnsi="楷体" w:eastAsia="楷体" w:cs="楷体"/>
                <w:sz w:val="21"/>
                <w:szCs w:val="21"/>
                <w:lang w:val="en-US" w:eastAsia="zh-CN"/>
              </w:rPr>
              <w:t>（特别是进入2021年以来钢材涨价幅度近100%）</w:t>
            </w:r>
            <w:r>
              <w:rPr>
                <w:rFonts w:hint="eastAsia" w:ascii="楷体" w:hAnsi="楷体" w:eastAsia="楷体" w:cs="楷体"/>
                <w:sz w:val="21"/>
                <w:szCs w:val="21"/>
              </w:rPr>
              <w:t>，人工成本增加，客户要求提高，以及行业良莠不齐、不良竞争、成本增加等严重影响行业发展。</w:t>
            </w:r>
          </w:p>
          <w:p>
            <w:pPr>
              <w:rPr>
                <w:rFonts w:hint="eastAsia" w:ascii="楷体" w:hAnsi="楷体" w:eastAsia="楷体" w:cs="楷体"/>
                <w:color w:val="000000"/>
                <w:spacing w:val="20"/>
                <w:sz w:val="21"/>
                <w:szCs w:val="21"/>
              </w:rPr>
            </w:pPr>
            <w:r>
              <w:rPr>
                <w:rFonts w:hint="eastAsia" w:ascii="楷体" w:hAnsi="楷体" w:eastAsia="楷体" w:cs="楷体"/>
                <w:sz w:val="21"/>
                <w:szCs w:val="21"/>
              </w:rPr>
              <w:t>公司始终尊崇“在质量方面坚持优于国家标准，以零缺陷为目标，满足需求，使客户满意”的价值观，并以诚信、共赢、开创经营理念来回馈社会。</w:t>
            </w:r>
          </w:p>
          <w:p>
            <w:pPr>
              <w:rPr>
                <w:rFonts w:hint="eastAsia" w:ascii="楷体" w:hAnsi="楷体" w:eastAsia="楷体" w:cs="楷体"/>
                <w:sz w:val="21"/>
                <w:szCs w:val="21"/>
              </w:rPr>
            </w:pPr>
            <w:r>
              <w:rPr>
                <w:rFonts w:hint="eastAsia" w:ascii="楷体" w:hAnsi="楷体" w:eastAsia="楷体" w:cs="楷体"/>
                <w:sz w:val="21"/>
                <w:szCs w:val="21"/>
              </w:rPr>
              <w:t>●总经理简单介绍了公司为了应对现阶段的风险和机遇所采取措施等，记录如下：</w:t>
            </w:r>
          </w:p>
          <w:p>
            <w:pPr>
              <w:rPr>
                <w:rFonts w:hint="eastAsia" w:ascii="楷体" w:hAnsi="楷体" w:eastAsia="楷体" w:cs="楷体"/>
                <w:sz w:val="21"/>
                <w:szCs w:val="21"/>
              </w:rPr>
            </w:pPr>
            <w:r>
              <w:rPr>
                <w:rFonts w:hint="eastAsia" w:ascii="楷体" w:hAnsi="楷体" w:eastAsia="楷体" w:cs="楷体"/>
                <w:sz w:val="21"/>
                <w:szCs w:val="21"/>
              </w:rPr>
              <w:t>1、供销部：</w:t>
            </w:r>
            <w:r>
              <w:rPr>
                <w:rFonts w:hint="eastAsia" w:ascii="楷体" w:hAnsi="楷体" w:eastAsia="楷体" w:cs="楷体"/>
                <w:color w:val="000000"/>
                <w:kern w:val="0"/>
                <w:sz w:val="21"/>
                <w:szCs w:val="21"/>
              </w:rPr>
              <w:t>增加合格供应商数量，避免单一的货源供应</w:t>
            </w:r>
          </w:p>
          <w:p>
            <w:pPr>
              <w:numPr>
                <w:ilvl w:val="0"/>
                <w:numId w:val="2"/>
              </w:numPr>
              <w:spacing w:line="240" w:lineRule="exact"/>
              <w:ind w:left="0" w:leftChars="0" w:firstLine="0" w:firstLineChars="0"/>
            </w:pPr>
            <w:r>
              <w:rPr>
                <w:rFonts w:hint="eastAsia" w:ascii="楷体" w:hAnsi="楷体" w:eastAsia="楷体" w:cs="楷体"/>
                <w:sz w:val="21"/>
                <w:szCs w:val="21"/>
              </w:rPr>
              <w:t>2、综合部：</w:t>
            </w:r>
            <w:r>
              <w:rPr>
                <w:rFonts w:hint="eastAsia" w:ascii="楷体" w:hAnsi="楷体" w:eastAsia="楷体" w:cs="楷体"/>
                <w:color w:val="000000"/>
                <w:kern w:val="0"/>
                <w:sz w:val="21"/>
                <w:szCs w:val="21"/>
              </w:rPr>
              <w:t>提高员工的质量意识，通过培训保持员工对产品质量的重视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sz w:val="20"/>
                <w:szCs w:val="20"/>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拆图、机械加工</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楷体" w:hAnsi="楷体" w:eastAsia="楷体" w:cs="楷体"/>
                <w:sz w:val="21"/>
                <w:szCs w:val="21"/>
              </w:rPr>
              <w:t>根据本公司产品和服务特点，产品依据国标、行业标准、客户要求进行生产，工艺流程简单成熟，无设计开发要求，故不适用8.3条款，不影响组织确保其产品和服务合格的能力或责任，对增强顾客满意也不会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●公司策划并制定了质量、职业健康安全目标指标，并在相关职能、层次和过程进行分解。</w:t>
            </w:r>
          </w:p>
          <w:p>
            <w:pPr>
              <w:rPr>
                <w:rFonts w:hint="eastAsia" w:ascii="楷体" w:hAnsi="楷体" w:eastAsia="楷体" w:cs="楷体"/>
                <w:sz w:val="21"/>
                <w:szCs w:val="21"/>
              </w:rPr>
            </w:pPr>
            <w:r>
              <w:rPr>
                <w:rFonts w:hint="eastAsia" w:ascii="楷体" w:hAnsi="楷体" w:eastAsia="楷体" w:cs="楷体"/>
                <w:sz w:val="21"/>
                <w:szCs w:val="21"/>
              </w:rPr>
              <w:t>●公司质量目标：</w:t>
            </w:r>
          </w:p>
          <w:p>
            <w:pPr>
              <w:rPr>
                <w:rFonts w:hint="eastAsia" w:ascii="楷体" w:hAnsi="楷体" w:eastAsia="楷体" w:cs="楷体"/>
                <w:sz w:val="21"/>
                <w:szCs w:val="21"/>
              </w:rPr>
            </w:pPr>
            <w:r>
              <w:rPr>
                <w:rFonts w:hint="eastAsia" w:ascii="楷体" w:hAnsi="楷体" w:eastAsia="楷体" w:cs="楷体"/>
                <w:sz w:val="21"/>
                <w:szCs w:val="21"/>
              </w:rPr>
              <w:t>生产产品一次检验通过率 ≥98%</w:t>
            </w:r>
          </w:p>
          <w:p>
            <w:pPr>
              <w:rPr>
                <w:rFonts w:hint="eastAsia" w:ascii="楷体" w:hAnsi="楷体" w:eastAsia="楷体" w:cs="楷体"/>
                <w:sz w:val="21"/>
                <w:szCs w:val="21"/>
              </w:rPr>
            </w:pPr>
            <w:r>
              <w:rPr>
                <w:rFonts w:hint="eastAsia" w:ascii="楷体" w:hAnsi="楷体" w:eastAsia="楷体" w:cs="楷体"/>
                <w:sz w:val="21"/>
                <w:szCs w:val="21"/>
              </w:rPr>
              <w:t xml:space="preserve">          生产产品出厂合格率100%</w:t>
            </w:r>
          </w:p>
          <w:p>
            <w:pPr>
              <w:rPr>
                <w:rFonts w:hint="eastAsia" w:ascii="楷体" w:hAnsi="楷体" w:eastAsia="楷体" w:cs="楷体"/>
                <w:sz w:val="21"/>
                <w:szCs w:val="21"/>
              </w:rPr>
            </w:pPr>
            <w:r>
              <w:rPr>
                <w:rFonts w:hint="eastAsia" w:ascii="楷体" w:hAnsi="楷体" w:eastAsia="楷体" w:cs="楷体"/>
                <w:sz w:val="21"/>
                <w:szCs w:val="21"/>
              </w:rPr>
              <w:t xml:space="preserve">          顾客满意率≥95%</w:t>
            </w:r>
          </w:p>
          <w:p>
            <w:pPr>
              <w:spacing w:line="240" w:lineRule="exact"/>
              <w:rPr>
                <w:rFonts w:ascii="宋体" w:hAnsi="宋体"/>
                <w:b/>
                <w:color w:val="000000" w:themeColor="text1"/>
              </w:rPr>
            </w:pPr>
            <w:r>
              <w:rPr>
                <w:rFonts w:hint="eastAsia" w:ascii="楷体" w:hAnsi="楷体" w:eastAsia="楷体" w:cs="楷体"/>
                <w:sz w:val="21"/>
                <w:szCs w:val="21"/>
              </w:rPr>
              <w:t>●基本符合标准要求。在方针框架下展开，并分解到各职能部门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default" w:ascii="宋体" w:hAnsi="宋体" w:eastAsia="宋体"/>
                <w:b/>
                <w:color w:val="000000" w:themeColor="text1"/>
                <w:sz w:val="20"/>
                <w:szCs w:val="20"/>
                <w:lang w:val="en-US" w:eastAsia="zh-CN"/>
              </w:rPr>
            </w:pPr>
            <w:r>
              <w:rPr>
                <w:rFonts w:hint="eastAsia"/>
              </w:rPr>
              <w:t>人力资源：企业目前在职员工</w:t>
            </w:r>
            <w:r>
              <w:rPr>
                <w:rFonts w:hint="eastAsia"/>
                <w:lang w:val="en-US" w:eastAsia="zh-CN"/>
              </w:rPr>
              <w:t>15</w:t>
            </w:r>
            <w:r>
              <w:rPr>
                <w:rFonts w:hint="eastAsia"/>
              </w:rPr>
              <w:t>人，职工队伍相对稳定，均在相关企业工作近5年，实践经验丰富；</w:t>
            </w:r>
            <w:r>
              <w:rPr>
                <w:rFonts w:hint="eastAsia"/>
                <w:lang w:val="en-US" w:eastAsia="zh-CN"/>
              </w:rPr>
              <w:t>上岗前培训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楷体" w:hAnsi="楷体" w:eastAsia="楷体" w:cs="楷体"/>
                <w:sz w:val="21"/>
                <w:szCs w:val="21"/>
              </w:rPr>
            </w:pPr>
            <w:r>
              <w:rPr>
                <w:rFonts w:hint="eastAsia" w:ascii="楷体" w:hAnsi="楷体" w:eastAsia="楷体" w:cs="楷体"/>
                <w:sz w:val="21"/>
                <w:szCs w:val="21"/>
              </w:rPr>
              <w:t>●基础设施：公司有办公楼一座、生产车间1处（在用）、仓库等必要的生产场地</w:t>
            </w:r>
          </w:p>
          <w:p>
            <w:pPr>
              <w:rPr>
                <w:rFonts w:hint="eastAsia" w:ascii="楷体" w:hAnsi="楷体" w:eastAsia="楷体" w:cs="楷体"/>
                <w:sz w:val="21"/>
                <w:szCs w:val="21"/>
              </w:rPr>
            </w:pPr>
            <w:r>
              <w:rPr>
                <w:rFonts w:hint="eastAsia" w:ascii="楷体" w:hAnsi="楷体" w:eastAsia="楷体" w:cs="楷体"/>
                <w:sz w:val="21"/>
                <w:szCs w:val="21"/>
              </w:rPr>
              <w:t>主要生产设备：火焰切割机、半自动切割机、箱型构件组立机、门式埋弧焊、电渣焊机、CO2气体保护焊机、钻床、铣床、小蜜蜂切割机（打坡口）、校正机、剪板机、卧式车床、立式车床等。</w:t>
            </w:r>
          </w:p>
          <w:p>
            <w:pPr>
              <w:rPr>
                <w:rFonts w:hint="eastAsia" w:ascii="楷体" w:hAnsi="楷体" w:eastAsia="楷体" w:cs="楷体"/>
                <w:sz w:val="21"/>
                <w:szCs w:val="21"/>
              </w:rPr>
            </w:pPr>
            <w:r>
              <w:rPr>
                <w:rFonts w:hint="eastAsia" w:ascii="楷体" w:hAnsi="楷体" w:eastAsia="楷体" w:cs="楷体"/>
                <w:sz w:val="21"/>
                <w:szCs w:val="21"/>
              </w:rPr>
              <w:t>特种设备：桥式起重机。</w:t>
            </w:r>
          </w:p>
          <w:p>
            <w:pPr>
              <w:rPr>
                <w:rFonts w:ascii="宋体" w:hAnsi="宋体"/>
                <w:b/>
                <w:color w:val="000000" w:themeColor="text1"/>
                <w:sz w:val="20"/>
                <w:szCs w:val="20"/>
              </w:rPr>
            </w:pPr>
            <w:r>
              <w:rPr>
                <w:rFonts w:hint="eastAsia" w:ascii="楷体" w:hAnsi="楷体" w:eastAsia="楷体" w:cs="楷体"/>
                <w:sz w:val="21"/>
                <w:szCs w:val="21"/>
              </w:rPr>
              <w:t>提供了《特种设备使用登记证》和《起重机械定期检验报告》，见附件；</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sz w:val="21"/>
                <w:szCs w:val="21"/>
              </w:rPr>
            </w:pPr>
            <w:r>
              <w:rPr>
                <w:rFonts w:hint="eastAsia" w:ascii="楷体" w:hAnsi="楷体" w:eastAsia="楷体" w:cs="楷体"/>
                <w:sz w:val="21"/>
                <w:szCs w:val="21"/>
              </w:rPr>
              <w:t>1）办公环境：租赁办公楼一座，配备有各部门办公室、会议室、洽谈室等；布局合理，场所卫生干净整洁，工作环境良好，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2）机加车间通风效果良好，各建筑物之间、通道无障碍物，布局合理</w:t>
            </w:r>
          </w:p>
          <w:p>
            <w:pPr>
              <w:spacing w:line="240" w:lineRule="exact"/>
              <w:rPr>
                <w:rFonts w:ascii="宋体" w:hAnsi="宋体"/>
                <w:b/>
                <w:color w:val="000000" w:themeColor="text1"/>
                <w:sz w:val="20"/>
                <w:szCs w:val="20"/>
              </w:rPr>
            </w:pPr>
            <w:r>
              <w:rPr>
                <w:rFonts w:hint="eastAsia" w:ascii="楷体" w:hAnsi="楷体" w:eastAsia="楷体" w:cs="楷体"/>
                <w:sz w:val="21"/>
                <w:szCs w:val="21"/>
              </w:rPr>
              <w:t>3）仓库：原材料、辅助材料、成品库分别存放，仓库内通道宽敞，仓库物料分类清晰，摆放有序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楷体" w:hAnsi="楷体" w:eastAsia="楷体" w:cs="楷体"/>
                <w:sz w:val="21"/>
                <w:szCs w:val="21"/>
              </w:rPr>
            </w:pPr>
            <w:r>
              <w:rPr>
                <w:rFonts w:hint="eastAsia" w:ascii="楷体" w:hAnsi="楷体" w:eastAsia="楷体" w:cs="楷体"/>
                <w:sz w:val="21"/>
                <w:szCs w:val="21"/>
              </w:rPr>
              <w:t>●建立有《检测设备台帐》监视测量仪器有：外径千分尺、游标卡尺，满足检验需求。</w:t>
            </w:r>
          </w:p>
          <w:p>
            <w:pPr>
              <w:rPr>
                <w:rFonts w:hint="eastAsia" w:ascii="楷体" w:hAnsi="楷体" w:eastAsia="楷体" w:cs="楷体"/>
                <w:sz w:val="21"/>
                <w:szCs w:val="21"/>
              </w:rPr>
            </w:pPr>
            <w:r>
              <w:rPr>
                <w:rFonts w:hint="eastAsia" w:ascii="楷体" w:hAnsi="楷体" w:eastAsia="楷体" w:cs="楷体"/>
                <w:sz w:val="21"/>
                <w:szCs w:val="21"/>
              </w:rPr>
              <w:t>●没有用于监测的计算机软件。</w:t>
            </w:r>
          </w:p>
          <w:p>
            <w:pPr>
              <w:rPr>
                <w:rFonts w:hint="eastAsia" w:ascii="楷体" w:hAnsi="楷体" w:eastAsia="楷体" w:cs="楷体"/>
                <w:sz w:val="21"/>
                <w:szCs w:val="21"/>
              </w:rPr>
            </w:pPr>
            <w:r>
              <w:rPr>
                <w:rFonts w:hint="eastAsia" w:ascii="楷体" w:hAnsi="楷体" w:eastAsia="楷体" w:cs="楷体"/>
                <w:sz w:val="21"/>
                <w:szCs w:val="21"/>
              </w:rPr>
              <w:t>●检测设备配置能满足产品检测需求。</w:t>
            </w:r>
          </w:p>
          <w:p>
            <w:pPr>
              <w:rPr>
                <w:rFonts w:hint="eastAsia" w:ascii="楷体" w:hAnsi="楷体" w:eastAsia="楷体" w:cs="楷体"/>
                <w:sz w:val="21"/>
                <w:szCs w:val="21"/>
              </w:rPr>
            </w:pPr>
            <w:r>
              <w:rPr>
                <w:rFonts w:hint="eastAsia" w:ascii="楷体" w:hAnsi="楷体" w:eastAsia="楷体" w:cs="楷体"/>
                <w:sz w:val="21"/>
                <w:szCs w:val="21"/>
              </w:rPr>
              <w:t>●提供了监视测量仪器的检测或校准证书，详见附件。</w:t>
            </w:r>
          </w:p>
          <w:p>
            <w:pPr>
              <w:rPr>
                <w:rFonts w:hint="eastAsia" w:ascii="楷体" w:hAnsi="楷体" w:eastAsia="楷体" w:cs="楷体"/>
                <w:sz w:val="21"/>
                <w:szCs w:val="21"/>
              </w:rPr>
            </w:pPr>
            <w:r>
              <w:rPr>
                <w:rFonts w:hint="eastAsia" w:ascii="楷体" w:hAnsi="楷体" w:eastAsia="楷体" w:cs="楷体"/>
                <w:sz w:val="21"/>
                <w:szCs w:val="21"/>
              </w:rPr>
              <w:t>●该公司品质部负责监视和测量设备的管理。</w:t>
            </w:r>
          </w:p>
          <w:p>
            <w:pPr>
              <w:spacing w:line="240" w:lineRule="exact"/>
              <w:rPr>
                <w:rFonts w:ascii="宋体" w:hAnsi="宋体"/>
                <w:b/>
                <w:color w:val="000000" w:themeColor="text1"/>
                <w:sz w:val="20"/>
                <w:szCs w:val="20"/>
              </w:rPr>
            </w:pPr>
            <w:r>
              <w:rPr>
                <w:rFonts w:hint="eastAsia" w:ascii="楷体" w:hAnsi="楷体" w:eastAsia="楷体" w:cs="楷体"/>
                <w:sz w:val="21"/>
                <w:szCs w:val="21"/>
              </w:rPr>
              <w:t>●使用过程中没有发生检测设备偏离校准状态现象。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sz w:val="21"/>
                <w:szCs w:val="21"/>
              </w:rPr>
            </w:pPr>
            <w:r>
              <w:rPr>
                <w:rFonts w:hint="eastAsia" w:ascii="楷体" w:hAnsi="楷体" w:eastAsia="楷体" w:cs="楷体"/>
                <w:sz w:val="21"/>
                <w:szCs w:val="21"/>
              </w:rPr>
              <w:t>●组织运行所需的知识从内、外部来源获取的有：</w:t>
            </w:r>
          </w:p>
          <w:p>
            <w:pPr>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ascii="楷体" w:hAnsi="楷体" w:eastAsia="楷体" w:cs="楷体"/>
                <w:sz w:val="21"/>
                <w:szCs w:val="21"/>
              </w:rPr>
            </w:pPr>
            <w:r>
              <w:rPr>
                <w:rFonts w:hint="eastAsia" w:ascii="楷体" w:hAnsi="楷体" w:eastAsia="楷体" w:cs="楷体"/>
                <w:sz w:val="21"/>
                <w:szCs w:val="21"/>
              </w:rPr>
              <w:t>●公司为保证管理体系持续满足要求，经管理者代表组织员工按总经理对方针、目标的要求，进行了讨论，形成了公司的方针和目标，并经过了总经理批准。</w:t>
            </w:r>
          </w:p>
          <w:p>
            <w:pPr>
              <w:rPr>
                <w:rFonts w:hint="eastAsia" w:ascii="楷体" w:hAnsi="楷体" w:eastAsia="楷体" w:cs="楷体"/>
                <w:sz w:val="21"/>
                <w:szCs w:val="21"/>
              </w:rPr>
            </w:pPr>
            <w:r>
              <w:rPr>
                <w:rFonts w:hint="eastAsia" w:ascii="楷体" w:hAnsi="楷体" w:eastAsia="楷体" w:cs="楷体"/>
                <w:sz w:val="21"/>
                <w:szCs w:val="21"/>
              </w:rPr>
              <w:t>●质量方针：</w:t>
            </w:r>
          </w:p>
          <w:p>
            <w:pPr>
              <w:spacing w:line="300" w:lineRule="exact"/>
              <w:ind w:left="1"/>
              <w:rPr>
                <w:rFonts w:hint="eastAsia" w:ascii="楷体" w:hAnsi="楷体" w:eastAsia="楷体" w:cs="楷体"/>
                <w:sz w:val="21"/>
                <w:szCs w:val="21"/>
              </w:rPr>
            </w:pPr>
            <w:r>
              <w:rPr>
                <w:rFonts w:hint="eastAsia" w:ascii="楷体" w:hAnsi="楷体" w:eastAsia="楷体" w:cs="楷体"/>
                <w:sz w:val="21"/>
                <w:szCs w:val="21"/>
              </w:rPr>
              <w:t>质量第一，用户至上，恪守信誉，竭诚服务</w:t>
            </w:r>
          </w:p>
          <w:p>
            <w:pPr>
              <w:spacing w:line="300" w:lineRule="exact"/>
              <w:ind w:left="1"/>
              <w:rPr>
                <w:b/>
                <w:color w:val="000000" w:themeColor="text1"/>
                <w:sz w:val="20"/>
                <w:szCs w:val="20"/>
              </w:rPr>
            </w:pPr>
            <w:r>
              <w:rPr>
                <w:rFonts w:hint="eastAsia" w:ascii="楷体" w:hAnsi="楷体" w:eastAsia="楷体" w:cs="楷体"/>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品质</w:t>
            </w:r>
            <w:r>
              <w:rPr>
                <w:rFonts w:hint="eastAsia" w:ascii="楷体" w:hAnsi="楷体" w:eastAsia="楷体" w:cs="楷体"/>
                <w:sz w:val="21"/>
                <w:szCs w:val="21"/>
              </w:rPr>
              <w:t>部、</w:t>
            </w:r>
            <w:r>
              <w:rPr>
                <w:rFonts w:hint="eastAsia" w:ascii="楷体" w:hAnsi="楷体" w:eastAsia="楷体" w:cs="楷体"/>
                <w:sz w:val="21"/>
                <w:szCs w:val="21"/>
                <w:lang w:val="en-US" w:eastAsia="zh-CN"/>
              </w:rPr>
              <w:t>供销部、</w:t>
            </w:r>
            <w:r>
              <w:rPr>
                <w:rFonts w:hint="eastAsia" w:ascii="楷体" w:hAnsi="楷体" w:eastAsia="楷体" w:cs="楷体"/>
                <w:sz w:val="21"/>
                <w:szCs w:val="21"/>
              </w:rPr>
              <w:t>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pPr>
              <w:pStyle w:val="17"/>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7"/>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w:t>
            </w:r>
            <w:r>
              <w:rPr>
                <w:rFonts w:hint="eastAsia" w:ascii="楷体" w:hAnsi="楷体" w:eastAsia="楷体" w:cs="楷体"/>
                <w:color w:val="auto"/>
                <w:kern w:val="2"/>
                <w:sz w:val="21"/>
                <w:szCs w:val="21"/>
                <w:lang w:val="en-US" w:eastAsia="zh-CN"/>
              </w:rPr>
              <w:t>下料、机械加工、外协</w:t>
            </w:r>
            <w:r>
              <w:rPr>
                <w:rFonts w:hint="eastAsia" w:ascii="楷体" w:hAnsi="楷体" w:eastAsia="楷体" w:cs="楷体"/>
                <w:color w:val="auto"/>
                <w:kern w:val="2"/>
                <w:sz w:val="21"/>
                <w:szCs w:val="21"/>
                <w:lang w:val="en-GB"/>
              </w:rPr>
              <w:t>、检验</w:t>
            </w:r>
            <w:r>
              <w:rPr>
                <w:rFonts w:hint="eastAsia" w:ascii="楷体" w:hAnsi="楷体" w:eastAsia="楷体" w:cs="楷体"/>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w:t>
            </w:r>
            <w:r>
              <w:rPr>
                <w:rFonts w:hint="eastAsia" w:ascii="楷体" w:hAnsi="楷体" w:eastAsia="楷体" w:cs="楷体"/>
                <w:sz w:val="21"/>
                <w:szCs w:val="21"/>
              </w:rPr>
              <w:t>火焰切割机、半自动切割机、箱型构件组立机、门式埋弧焊、电渣焊机、CO2气体保护焊机、钻床、铣床、小蜜蜂切割机（打坡口）、校正机、剪板机、卧式车床、立式车床</w:t>
            </w:r>
            <w:r>
              <w:rPr>
                <w:rFonts w:hint="eastAsia" w:ascii="楷体" w:hAnsi="楷体" w:eastAsia="楷体" w:cs="楷体"/>
                <w:sz w:val="21"/>
                <w:szCs w:val="21"/>
              </w:rPr>
              <w:t>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千分尺、深度尺</w:t>
            </w:r>
            <w:r>
              <w:rPr>
                <w:rFonts w:hint="eastAsia" w:ascii="楷体" w:hAnsi="楷体" w:eastAsia="楷体" w:cs="楷体"/>
                <w:sz w:val="21"/>
                <w:szCs w:val="21"/>
              </w:rPr>
              <w:t>等，满足检验需求。</w:t>
            </w:r>
          </w:p>
          <w:p>
            <w:pPr>
              <w:pStyle w:val="17"/>
              <w:autoSpaceDE/>
              <w:autoSpaceDN/>
              <w:adjustRightInd/>
              <w:spacing w:line="340" w:lineRule="exact"/>
              <w:rPr>
                <w:rFonts w:hint="eastAsia"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产品检验：分为原材料、半成品及成品检验，原材料采取进货验证，半成品采取随工序检验，产品采取抽检。</w:t>
            </w:r>
          </w:p>
          <w:p>
            <w:pPr>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w:t>
            </w:r>
            <w:r>
              <w:rPr>
                <w:rFonts w:hint="eastAsia" w:ascii="楷体" w:hAnsi="楷体" w:eastAsia="楷体" w:cs="楷体"/>
                <w:bCs/>
                <w:sz w:val="21"/>
                <w:szCs w:val="21"/>
              </w:rPr>
              <w:t>金属结构件、冶金机械配件</w:t>
            </w:r>
            <w:r>
              <w:rPr>
                <w:rFonts w:hint="eastAsia" w:ascii="楷体" w:hAnsi="楷体" w:eastAsia="楷体" w:cs="楷体"/>
                <w:bCs/>
                <w:sz w:val="21"/>
                <w:szCs w:val="21"/>
                <w:lang w:val="en-US" w:eastAsia="zh-CN"/>
              </w:rPr>
              <w:t>的加工</w:t>
            </w:r>
            <w:r>
              <w:rPr>
                <w:rFonts w:hint="eastAsia" w:ascii="楷体" w:hAnsi="楷体" w:eastAsia="楷体" w:cs="楷体"/>
                <w:sz w:val="21"/>
                <w:szCs w:val="21"/>
              </w:rPr>
              <w:t>，且按照国家、行业相关标准、顾客提供的技术资料、图</w:t>
            </w:r>
            <w:r>
              <w:rPr>
                <w:rFonts w:hint="eastAsia" w:ascii="楷体" w:hAnsi="楷体" w:eastAsia="楷体" w:cs="楷体"/>
                <w:sz w:val="21"/>
                <w:szCs w:val="21"/>
                <w:lang w:val="en-US" w:eastAsia="zh-CN"/>
              </w:rPr>
              <w:t>纸</w:t>
            </w:r>
            <w:r>
              <w:rPr>
                <w:rFonts w:hint="eastAsia" w:ascii="楷体" w:hAnsi="楷体" w:eastAsia="楷体" w:cs="楷体"/>
                <w:sz w:val="21"/>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7"/>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焊接</w:t>
            </w:r>
            <w:r>
              <w:rPr>
                <w:rFonts w:hint="eastAsia" w:ascii="楷体" w:hAnsi="楷体" w:eastAsia="楷体" w:cs="楷体"/>
                <w:sz w:val="21"/>
                <w:szCs w:val="21"/>
              </w:rPr>
              <w:t>。</w:t>
            </w:r>
          </w:p>
          <w:p>
            <w:pPr>
              <w:pStyle w:val="17"/>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钢筒卷制、铸造件、</w:t>
            </w:r>
            <w:r>
              <w:rPr>
                <w:rFonts w:hint="eastAsia" w:ascii="楷体" w:hAnsi="楷体" w:eastAsia="楷体" w:cs="楷体"/>
                <w:sz w:val="21"/>
                <w:szCs w:val="21"/>
              </w:rPr>
              <w:t>金属结构件热处理及探伤检测</w:t>
            </w:r>
            <w:r>
              <w:rPr>
                <w:rFonts w:hint="eastAsia" w:ascii="楷体" w:hAnsi="楷体" w:eastAsia="楷体" w:cs="楷体"/>
                <w:sz w:val="21"/>
                <w:szCs w:val="21"/>
              </w:rPr>
              <w:t>。</w:t>
            </w:r>
          </w:p>
          <w:p>
            <w:pPr>
              <w:pStyle w:val="17"/>
              <w:spacing w:line="276" w:lineRule="auto"/>
              <w:jc w:val="both"/>
              <w:rPr>
                <w:rFonts w:hint="default" w:ascii="楷体" w:hAnsi="楷体" w:eastAsia="楷体" w:cs="楷体"/>
                <w:sz w:val="21"/>
                <w:szCs w:val="21"/>
                <w:lang w:val="en-US" w:eastAsia="zh-CN"/>
              </w:rPr>
            </w:pPr>
            <w:r>
              <w:rPr>
                <w:rFonts w:hint="eastAsia" w:ascii="楷体" w:hAnsi="楷体" w:eastAsia="楷体" w:cs="楷体"/>
                <w:sz w:val="21"/>
                <w:szCs w:val="21"/>
              </w:rPr>
              <w:t>关键过程：</w:t>
            </w:r>
            <w:r>
              <w:rPr>
                <w:rFonts w:hint="eastAsia" w:ascii="楷体" w:hAnsi="楷体" w:eastAsia="楷体" w:cs="楷体"/>
                <w:sz w:val="21"/>
                <w:szCs w:val="21"/>
                <w:lang w:val="en-US" w:eastAsia="zh-CN"/>
              </w:rPr>
              <w:t>拆图、机械加工</w:t>
            </w:r>
          </w:p>
          <w:p>
            <w:pPr>
              <w:spacing w:line="240" w:lineRule="exact"/>
              <w:rPr>
                <w:b/>
                <w:color w:val="000000" w:themeColor="text1"/>
                <w:sz w:val="20"/>
                <w:szCs w:val="20"/>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eastAsia" w:ascii="楷体" w:hAnsi="楷体" w:eastAsia="楷体" w:cs="楷体"/>
                <w:b w:val="0"/>
                <w:bCs w:val="0"/>
                <w:color w:val="000000" w:themeColor="text1"/>
                <w:sz w:val="21"/>
                <w:szCs w:val="21"/>
              </w:rPr>
            </w:pPr>
            <w:r>
              <w:rPr>
                <w:rFonts w:hint="eastAsia" w:ascii="楷体" w:hAnsi="楷体" w:eastAsia="楷体" w:cs="楷体"/>
                <w:b w:val="0"/>
                <w:bCs w:val="0"/>
                <w:sz w:val="21"/>
                <w:szCs w:val="21"/>
              </w:rPr>
              <w:t>客户图纸、合同要求、客户标准：机械加工手册、机械加工通用技术规范、机械加工通用检验规范、机械加工手册、机械加工通用技术规范、机械加工通用检验规范、GB/T4656-1984 《金属结构件表示法》</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GB/T 19867.2-2008 《气焊焊接工艺规程》、GB/T 19804-2005《焊接结构的一般尺寸公差和形位公差》、GB/T 324-2008 《焊缝符号表示法》、GB/T 1184-1996《形状和位置公差 未注公差值》、GB/T 1804-2000《一般公差 未注公差的线性和角度尺寸的公差》等</w:t>
            </w:r>
            <w:r>
              <w:rPr>
                <w:rFonts w:hint="eastAsia" w:ascii="楷体" w:hAnsi="楷体" w:eastAsia="楷体" w:cs="楷体"/>
                <w:b w:val="0"/>
                <w:bCs w:val="0"/>
                <w:sz w:val="21"/>
                <w:szCs w:val="21"/>
                <w:lang w:val="en-US" w:eastAsia="zh-CN"/>
              </w:rPr>
              <w:t>相关</w:t>
            </w:r>
            <w:r>
              <w:rPr>
                <w:rFonts w:hint="eastAsia" w:ascii="楷体" w:hAnsi="楷体" w:eastAsia="楷体" w:cs="楷体"/>
                <w:b w:val="0"/>
                <w:bCs w:val="0"/>
                <w:sz w:val="21"/>
                <w:szCs w:val="21"/>
              </w:rPr>
              <w:t>标准</w:t>
            </w:r>
            <w:r>
              <w:rPr>
                <w:rFonts w:hint="eastAsia" w:ascii="楷体" w:hAnsi="楷体" w:eastAsia="楷体" w:cs="楷体"/>
                <w:b w:val="0"/>
                <w:bCs w:val="0"/>
                <w:sz w:val="21"/>
                <w:szCs w:val="21"/>
                <w:lang w:val="en-US" w:eastAsia="zh-CN"/>
              </w:rPr>
              <w:t>及规范</w:t>
            </w:r>
          </w:p>
          <w:p>
            <w:pPr>
              <w:spacing w:line="240" w:lineRule="exact"/>
              <w:rPr>
                <w:rFonts w:hint="eastAsia" w:ascii="楷体" w:hAnsi="楷体" w:eastAsia="楷体" w:cs="楷体"/>
                <w:b w:val="0"/>
                <w:bCs w:val="0"/>
                <w:color w:val="000000" w:themeColor="text1"/>
                <w:sz w:val="21"/>
                <w:szCs w:val="21"/>
              </w:rPr>
            </w:pPr>
          </w:p>
          <w:p>
            <w:pPr>
              <w:spacing w:line="240" w:lineRule="exact"/>
              <w:rPr>
                <w:rFonts w:hint="eastAsia" w:ascii="楷体" w:hAnsi="楷体" w:eastAsia="楷体" w:cs="楷体"/>
                <w:b w:val="0"/>
                <w:bCs w:val="0"/>
                <w:color w:val="000000" w:themeColor="text1"/>
                <w:sz w:val="21"/>
                <w:szCs w:val="21"/>
                <w:lang w:val="en-US" w:eastAsia="zh-CN"/>
              </w:rPr>
            </w:pPr>
            <w:r>
              <w:rPr>
                <w:rFonts w:hint="eastAsia" w:ascii="楷体" w:hAnsi="楷体" w:eastAsia="楷体" w:cs="楷体"/>
                <w:b w:val="0"/>
                <w:bCs w:val="0"/>
                <w:color w:val="000000" w:themeColor="text1"/>
                <w:sz w:val="21"/>
                <w:szCs w:val="21"/>
                <w:lang w:val="en-US" w:eastAsia="zh-CN"/>
              </w:rPr>
              <w:t>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b/>
                <w:color w:val="000000" w:themeColor="text1"/>
                <w:sz w:val="20"/>
                <w:szCs w:val="20"/>
                <w:lang w:val="en-US"/>
              </w:rPr>
            </w:pPr>
            <w:r>
              <w:rPr>
                <w:rFonts w:hint="eastAsia" w:ascii="楷体" w:hAnsi="楷体" w:eastAsia="楷体" w:cs="楷体"/>
                <w:sz w:val="21"/>
                <w:szCs w:val="21"/>
                <w:lang w:val="en-US" w:eastAsia="zh-CN"/>
              </w:rPr>
              <w:t>特种设备：天车2部（房东配置、房东负责检测），企业只负责日常保养，见检测报告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提供了文件化可分解的目标、指标，经查问分解到各部门，经查阅建立的管理目标符合标准要求，在方针的框架下展开，每季度考核一次，查看2020年</w:t>
            </w:r>
            <w:r>
              <w:rPr>
                <w:rFonts w:hint="eastAsia" w:ascii="楷体" w:hAnsi="楷体" w:eastAsia="楷体" w:cs="楷体"/>
                <w:sz w:val="21"/>
                <w:szCs w:val="21"/>
                <w:lang w:val="en-US" w:eastAsia="zh-CN"/>
              </w:rPr>
              <w:t>3-4</w:t>
            </w:r>
            <w:r>
              <w:rPr>
                <w:rFonts w:hint="eastAsia" w:ascii="楷体" w:hAnsi="楷体" w:eastAsia="楷体" w:cs="楷体"/>
                <w:sz w:val="21"/>
                <w:szCs w:val="21"/>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96</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按照策划的安排于 202</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 年 </w:t>
            </w:r>
            <w:r>
              <w:rPr>
                <w:rFonts w:hint="eastAsia" w:ascii="楷体" w:hAnsi="楷体" w:eastAsia="楷体" w:cs="楷体"/>
                <w:color w:val="000000" w:themeColor="text1"/>
                <w:spacing w:val="-8"/>
                <w:sz w:val="21"/>
                <w:szCs w:val="21"/>
                <w:lang w:val="en-US" w:eastAsia="zh-CN"/>
              </w:rPr>
              <w:t>3</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15</w:t>
            </w:r>
            <w:r>
              <w:rPr>
                <w:rFonts w:hint="eastAsia" w:ascii="楷体" w:hAnsi="楷体" w:eastAsia="楷体" w:cs="楷体"/>
                <w:color w:val="000000" w:themeColor="text1"/>
                <w:spacing w:val="-8"/>
                <w:sz w:val="21"/>
                <w:szCs w:val="21"/>
              </w:rPr>
              <w:t>日进行了一次集中式的内部审核，经查阅资料及与管代沟通，内审 员没有审核自己的工作，查阅内审记录，符合策划安排，提出 1项不符合，分别在7.</w:t>
            </w:r>
            <w:r>
              <w:rPr>
                <w:rFonts w:hint="eastAsia" w:ascii="楷体" w:hAnsi="楷体" w:eastAsia="楷体" w:cs="楷体"/>
                <w:color w:val="000000" w:themeColor="text1"/>
                <w:spacing w:val="-8"/>
                <w:sz w:val="21"/>
                <w:szCs w:val="21"/>
                <w:lang w:val="en-US" w:eastAsia="zh-CN"/>
              </w:rPr>
              <w:t>5</w:t>
            </w:r>
            <w:r>
              <w:rPr>
                <w:rFonts w:hint="eastAsia" w:ascii="楷体" w:hAnsi="楷体" w:eastAsia="楷体" w:cs="楷体"/>
                <w:color w:val="000000" w:themeColor="text1"/>
                <w:spacing w:val="-8"/>
                <w:sz w:val="21"/>
                <w:szCs w:val="21"/>
              </w:rPr>
              <w:t>条款，责任部门进行了分析原因、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 w:val="21"/>
                <w:szCs w:val="21"/>
              </w:rPr>
              <w:t>按照策划的安排于 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 年 </w:t>
            </w:r>
            <w:r>
              <w:rPr>
                <w:rFonts w:hint="eastAsia" w:ascii="楷体" w:hAnsi="楷体" w:eastAsia="楷体" w:cs="楷体"/>
                <w:color w:val="000000" w:themeColor="text1"/>
                <w:sz w:val="21"/>
                <w:szCs w:val="21"/>
                <w:lang w:val="en-US" w:eastAsia="zh-CN"/>
              </w:rPr>
              <w:t>3</w:t>
            </w:r>
            <w:r>
              <w:rPr>
                <w:rFonts w:hint="eastAsia" w:ascii="楷体" w:hAnsi="楷体" w:eastAsia="楷体" w:cs="楷体"/>
                <w:color w:val="000000" w:themeColor="text1"/>
                <w:sz w:val="21"/>
                <w:szCs w:val="21"/>
              </w:rPr>
              <w:t xml:space="preserve"> 月 </w:t>
            </w:r>
            <w:r>
              <w:rPr>
                <w:rFonts w:hint="eastAsia" w:ascii="楷体" w:hAnsi="楷体" w:eastAsia="楷体" w:cs="楷体"/>
                <w:color w:val="000000" w:themeColor="text1"/>
                <w:sz w:val="21"/>
                <w:szCs w:val="21"/>
                <w:lang w:val="en-US" w:eastAsia="zh-CN"/>
              </w:rPr>
              <w:t>25</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供销</w:t>
      </w:r>
      <w:r>
        <w:rPr>
          <w:rFonts w:hint="eastAsia"/>
          <w:b/>
          <w:color w:val="000000" w:themeColor="text1"/>
        </w:rPr>
        <w:t>部门</w:t>
      </w:r>
      <w:r>
        <w:rPr>
          <w:rFonts w:hint="eastAsia"/>
          <w:b/>
          <w:color w:val="000000" w:themeColor="text1"/>
          <w:lang w:val="en-US" w:eastAsia="zh-CN"/>
        </w:rPr>
        <w:t>8.2、8.4</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bCs/>
                <w:sz w:val="21"/>
                <w:szCs w:val="21"/>
              </w:rPr>
              <w:t>金属结构件、冶金机械配件的加工</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w:t>
      </w:r>
      <w:r>
        <w:rPr>
          <w:rFonts w:hint="eastAsia"/>
          <w:b/>
          <w:color w:val="000000" w:themeColor="text1"/>
          <w:lang w:val="en-US" w:eastAsia="zh-CN"/>
        </w:rPr>
        <w:t>30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sz w:val="22"/>
          <w:szCs w:val="22"/>
        </w:rPr>
        <w:drawing>
          <wp:anchor distT="0" distB="0" distL="114300" distR="114300" simplePos="0" relativeHeight="251663360" behindDoc="0" locked="0" layoutInCell="1" allowOverlap="1">
            <wp:simplePos x="0" y="0"/>
            <wp:positionH relativeFrom="column">
              <wp:posOffset>1788795</wp:posOffset>
            </wp:positionH>
            <wp:positionV relativeFrom="paragraph">
              <wp:posOffset>408305</wp:posOffset>
            </wp:positionV>
            <wp:extent cx="691515" cy="222885"/>
            <wp:effectExtent l="0" t="0" r="9525" b="571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1668780</wp:posOffset>
            </wp:positionH>
            <wp:positionV relativeFrom="paragraph">
              <wp:posOffset>358140</wp:posOffset>
            </wp:positionV>
            <wp:extent cx="1155700" cy="632460"/>
            <wp:effectExtent l="0" t="0" r="2540" b="7620"/>
            <wp:wrapNone/>
            <wp:docPr id="3" name="图片 3" descr="d13eb139db20b91fb5d25e193cba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3eb139db20b91fb5d25e193cba781"/>
                    <pic:cNvPicPr>
                      <a:picLocks noChangeAspect="1"/>
                    </pic:cNvPicPr>
                  </pic:nvPicPr>
                  <pic:blipFill>
                    <a:blip r:embed="rId7"/>
                    <a:stretch>
                      <a:fillRect/>
                    </a:stretch>
                  </pic:blipFill>
                  <pic:spPr>
                    <a:xfrm>
                      <a:off x="0" y="0"/>
                      <a:ext cx="1155700" cy="632460"/>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sz w:val="22"/>
          <w:szCs w:val="22"/>
        </w:rPr>
        <w:drawing>
          <wp:anchor distT="0" distB="0" distL="114300" distR="114300" simplePos="0" relativeHeight="251664384" behindDoc="0" locked="0" layoutInCell="1" allowOverlap="1">
            <wp:simplePos x="0" y="0"/>
            <wp:positionH relativeFrom="column">
              <wp:posOffset>838835</wp:posOffset>
            </wp:positionH>
            <wp:positionV relativeFrom="paragraph">
              <wp:posOffset>244475</wp:posOffset>
            </wp:positionV>
            <wp:extent cx="691515" cy="222885"/>
            <wp:effectExtent l="0" t="0" r="9525" b="571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30</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60E8A"/>
    <w:multiLevelType w:val="singleLevel"/>
    <w:tmpl w:val="F7C60E8A"/>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D22DCB"/>
    <w:rsid w:val="323A2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5"/>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2021-04-28T02:10:24Z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91B4111D00914D2ABE652D27F9D94524</vt:lpwstr>
  </property>
</Properties>
</file>