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  <w:lang w:val="en-US" w:eastAsia="zh-CN"/>
        </w:rPr>
        <w:t>风送型聚合物分散装置法兰外径测量</w:t>
      </w:r>
      <w:r>
        <w:rPr>
          <w:rFonts w:hint="eastAsia"/>
          <w:b/>
          <w:sz w:val="32"/>
          <w:szCs w:val="32"/>
        </w:rPr>
        <w:t>过程不确定度评定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lang w:val="en-US" w:eastAsia="zh-CN"/>
        </w:rPr>
        <w:t>风送型聚合物分散装置法兰外径测量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</w:t>
      </w:r>
      <w:r>
        <w:rPr>
          <w:rFonts w:hint="eastAsia" w:ascii="宋体" w:hAnsi="宋体"/>
          <w:sz w:val="24"/>
          <w:lang w:val="en-US" w:eastAsia="zh-CN"/>
        </w:rPr>
        <w:tab/>
      </w:r>
      <w:r>
        <w:rPr>
          <w:rFonts w:hint="eastAsia" w:ascii="宋体" w:hAnsi="宋体"/>
          <w:sz w:val="24"/>
          <w:lang w:val="en-US" w:eastAsia="zh-CN"/>
        </w:rPr>
        <w:t>XJSJ</w:t>
      </w:r>
      <w:r>
        <w:rPr>
          <w:rFonts w:hint="eastAsia" w:ascii="宋体" w:hAnsi="宋体"/>
          <w:sz w:val="24"/>
        </w:rPr>
        <w:t>CL-02</w:t>
      </w:r>
    </w:p>
    <w:p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测量设备：游标卡尺0-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00mm, 最大允许误差：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±0.0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200" w:firstLineChars="5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>式中：f为被测物体的内径；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为卡尺显示的内径值。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用卡尺对一块标准值为100mm的直径连续测量10次，得到一组测量列为：100.00；100.00；100.02；99.98；99.98；99.98；100.00；100.00；99.98；100.00。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70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=0.02mm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=0.02mm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游标卡尺的最大示值误差为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±0.0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mm，</w:t>
      </w:r>
      <w:r>
        <w:rPr>
          <w:rFonts w:hint="eastAsia" w:ascii="宋体" w:hAnsi="宋体"/>
          <w:sz w:val="24"/>
        </w:rPr>
        <w:t>而卡尺的实际检定时为100mm，示值误差为±0.0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mm，按均匀分布，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3mm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3 =0.0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6mm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5000" cy="323850"/>
            <wp:effectExtent l="0" t="0" r="0" b="6350"/>
            <wp:docPr id="62" name="图片 62" descr="44b89ff4fb82b183182693f17a58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44b89ff4fb82b183182693f17a58a7d"/>
                    <pic:cNvPicPr>
                      <a:picLocks noChangeAspect="1"/>
                    </pic:cNvPicPr>
                  </pic:nvPicPr>
                  <pic:blipFill>
                    <a:blip r:embed="rId16">
                      <a:biLevel thresh="50000"/>
                    </a:blip>
                    <a:srcRect l="51507" t="78531" r="22052" b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81656"/>
    <w:rsid w:val="000936BD"/>
    <w:rsid w:val="000B32D6"/>
    <w:rsid w:val="001342C9"/>
    <w:rsid w:val="001459FC"/>
    <w:rsid w:val="00162EFE"/>
    <w:rsid w:val="00163A22"/>
    <w:rsid w:val="00201F21"/>
    <w:rsid w:val="00205B2B"/>
    <w:rsid w:val="002642F5"/>
    <w:rsid w:val="002A5F50"/>
    <w:rsid w:val="002C3620"/>
    <w:rsid w:val="002E40B3"/>
    <w:rsid w:val="00334B6F"/>
    <w:rsid w:val="00354569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A0D7B"/>
    <w:rsid w:val="006A412C"/>
    <w:rsid w:val="0074122F"/>
    <w:rsid w:val="007D6D62"/>
    <w:rsid w:val="007E5416"/>
    <w:rsid w:val="00823182"/>
    <w:rsid w:val="00901370"/>
    <w:rsid w:val="0092441E"/>
    <w:rsid w:val="009647D5"/>
    <w:rsid w:val="009A6C71"/>
    <w:rsid w:val="009E0A34"/>
    <w:rsid w:val="009E79C5"/>
    <w:rsid w:val="00A0601A"/>
    <w:rsid w:val="00A37F8E"/>
    <w:rsid w:val="00A65E19"/>
    <w:rsid w:val="00AD06BC"/>
    <w:rsid w:val="00AE62CD"/>
    <w:rsid w:val="00AF2122"/>
    <w:rsid w:val="00B654CB"/>
    <w:rsid w:val="00B84768"/>
    <w:rsid w:val="00BA3FEA"/>
    <w:rsid w:val="00BE01DD"/>
    <w:rsid w:val="00BE282E"/>
    <w:rsid w:val="00C26DE4"/>
    <w:rsid w:val="00CB3D9A"/>
    <w:rsid w:val="00CF5202"/>
    <w:rsid w:val="00D1702F"/>
    <w:rsid w:val="00D26BB8"/>
    <w:rsid w:val="00D46588"/>
    <w:rsid w:val="00D772A5"/>
    <w:rsid w:val="00D9773F"/>
    <w:rsid w:val="00DD3149"/>
    <w:rsid w:val="00E064E9"/>
    <w:rsid w:val="00E122C5"/>
    <w:rsid w:val="00E134CD"/>
    <w:rsid w:val="00E13592"/>
    <w:rsid w:val="00E34AF0"/>
    <w:rsid w:val="00E5662E"/>
    <w:rsid w:val="00E8132E"/>
    <w:rsid w:val="00EF7E82"/>
    <w:rsid w:val="00F66BF3"/>
    <w:rsid w:val="00F77404"/>
    <w:rsid w:val="02DC580A"/>
    <w:rsid w:val="05951229"/>
    <w:rsid w:val="09096A95"/>
    <w:rsid w:val="0D545F82"/>
    <w:rsid w:val="1F2577AB"/>
    <w:rsid w:val="33FD477F"/>
    <w:rsid w:val="3ED92B3C"/>
    <w:rsid w:val="50B020B2"/>
    <w:rsid w:val="56FD0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C7D53-53CF-4CAC-9601-12C65D914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97</Words>
  <Characters>559</Characters>
  <Lines>4</Lines>
  <Paragraphs>1</Paragraphs>
  <TotalTime>0</TotalTime>
  <ScaleCrop>false</ScaleCrop>
  <LinksUpToDate>false</LinksUpToDate>
  <CharactersWithSpaces>655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2016-12-17T08:49:00Z</dcterms:created>
  <dc:creator>user</dc:creator>
  <cp:lastModifiedBy>yingjie</cp:lastModifiedBy>
  <cp:lastPrinted>2016-12-18T01:05:00Z</cp:lastPrinted>
  <dcterms:modified xsi:type="dcterms:W3CDTF">2021-04-25T05:10:03Z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5C8CDDE23C3A4F09B0A6151E03A0D6C7</vt:lpwstr>
  </property>
</Properties>
</file>