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凉山矿业股份有限公司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lang w:val="en-US" w:eastAsia="zh-CN"/>
        </w:rPr>
        <w:t>能源</w:t>
      </w:r>
      <w:r>
        <w:rPr>
          <w:rFonts w:hint="eastAsia" w:ascii="楷体" w:hAnsi="楷体" w:eastAsia="楷体"/>
          <w:b/>
          <w:color w:val="000000" w:themeColor="text1"/>
          <w:sz w:val="32"/>
          <w:szCs w:val="32"/>
        </w:rPr>
        <w:t>管理体系（</w:t>
      </w:r>
      <w:r>
        <w:rPr>
          <w:rFonts w:hint="eastAsia" w:ascii="楷体" w:hAnsi="楷体" w:eastAsia="楷体"/>
          <w:b/>
          <w:color w:val="000000" w:themeColor="text1"/>
          <w:sz w:val="32"/>
          <w:szCs w:val="32"/>
          <w:lang w:val="en-US" w:eastAsia="zh-CN"/>
        </w:rPr>
        <w:t>En</w:t>
      </w:r>
      <w:r>
        <w:rPr>
          <w:rFonts w:hint="eastAsia" w:ascii="楷体" w:hAnsi="楷体" w:eastAsia="楷体"/>
          <w:b/>
          <w:color w:val="000000" w:themeColor="text1"/>
          <w:sz w:val="32"/>
          <w:szCs w:val="32"/>
        </w:rPr>
        <w:t>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hint="eastAsia" w:ascii="宋体" w:cs="宋体" w:hAnsiTheme="minorHAnsi"/>
                <w:color w:val="000000" w:themeColor="text1"/>
                <w:kern w:val="0"/>
                <w:sz w:val="20"/>
                <w:szCs w:val="20"/>
                <w:lang w:val="en-US" w:eastAsia="zh-CN"/>
              </w:rPr>
              <w:t>En</w:t>
            </w:r>
            <w:r>
              <w:rPr>
                <w:rFonts w:ascii="宋体" w:cs="宋体" w:hAnsiTheme="minorHAnsi"/>
                <w:color w:val="000000" w:themeColor="text1"/>
                <w:kern w:val="0"/>
                <w:sz w:val="20"/>
                <w:szCs w:val="20"/>
              </w:rPr>
              <w:t>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3" w:name="审核依据"/>
      <w:r>
        <w:rPr>
          <w:rFonts w:hint="eastAsia" w:ascii="宋体" w:hAnsi="宋体"/>
          <w:b/>
          <w:color w:val="000000" w:themeColor="text1"/>
          <w:spacing w:val="-10"/>
          <w:sz w:val="20"/>
          <w:szCs w:val="20"/>
        </w:rPr>
        <w:t>ISO50001:2018</w:t>
      </w:r>
      <w:bookmarkEnd w:id="3"/>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凉山矿业股份有限公司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200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四川省凉山州会理县绿水镇矿部片区</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615146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7" w:name="办公地址"/>
            <w:r>
              <w:rPr>
                <w:rFonts w:ascii="宋体" w:hAnsi="宋体"/>
                <w:b/>
                <w:color w:val="000000" w:themeColor="text1"/>
                <w:sz w:val="20"/>
                <w:szCs w:val="20"/>
              </w:rPr>
              <w:t>四川省凉山州会理县绿水镇矿部片区</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615146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徐雪</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18989245950</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王世宇</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张辉</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both"/>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铜矿开采、选矿以及冶炼所涉及的能源管理活动。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2.2</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2020-10-01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z w:val="20"/>
                <w:szCs w:val="20"/>
                <w:lang w:val="en-US" w:eastAsia="zh-CN"/>
              </w:rPr>
              <w:t>已附</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18"/>
                <w:szCs w:val="18"/>
              </w:rPr>
            </w:pPr>
            <w:r>
              <w:rPr>
                <w:rFonts w:hint="eastAsia" w:asciiTheme="minorEastAsia" w:hAnsiTheme="minorEastAsia" w:eastAsiaTheme="minorEastAsia" w:cstheme="minorEastAsia"/>
                <w:b w:val="0"/>
                <w:bCs w:val="0"/>
                <w:sz w:val="18"/>
                <w:szCs w:val="18"/>
                <w:lang w:val="en-US" w:eastAsia="zh-CN"/>
              </w:rPr>
              <w:t>管理层</w:t>
            </w:r>
          </w:p>
        </w:tc>
        <w:tc>
          <w:tcPr>
            <w:tcW w:w="6804" w:type="dxa"/>
          </w:tcPr>
          <w:p>
            <w:pPr>
              <w:jc w:val="left"/>
              <w:rPr>
                <w:rFonts w:ascii="宋体" w:hAnsi="宋体"/>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管理体系策划、过程识别和策划及实施、确定认证范围、领导承诺及职责权限、管理方针和目标及目标完成情况、适用法</w:t>
            </w:r>
            <w:r>
              <w:rPr>
                <w:rFonts w:hint="eastAsia" w:asciiTheme="minorEastAsia" w:hAnsiTheme="minorEastAsia" w:eastAsiaTheme="minorEastAsia" w:cstheme="minorEastAsia"/>
                <w:b w:val="0"/>
                <w:bCs w:val="0"/>
                <w:sz w:val="18"/>
                <w:szCs w:val="18"/>
                <w:u w:val="single"/>
                <w:lang w:val="en-US" w:eastAsia="zh-CN"/>
              </w:rPr>
              <w:t>律法规识别</w:t>
            </w:r>
            <w:r>
              <w:rPr>
                <w:rFonts w:hint="eastAsia" w:asciiTheme="minorEastAsia" w:hAnsiTheme="minorEastAsia" w:eastAsiaTheme="minorEastAsia" w:cstheme="minorEastAsia"/>
                <w:b w:val="0"/>
                <w:bCs w:val="0"/>
                <w:sz w:val="18"/>
                <w:szCs w:val="18"/>
                <w:lang w:val="en-US" w:eastAsia="zh-CN"/>
              </w:rPr>
              <w:t>、风险机制的建立和控制情况、管评、资源、监视测量、不符合纠正及持续改进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18"/>
                <w:szCs w:val="18"/>
              </w:rPr>
            </w:pPr>
            <w:r>
              <w:rPr>
                <w:rFonts w:hint="eastAsia" w:asciiTheme="minorEastAsia" w:hAnsiTheme="minorEastAsia" w:eastAsiaTheme="minorEastAsia" w:cstheme="minorEastAsia"/>
                <w:b w:val="0"/>
                <w:bCs w:val="0"/>
                <w:sz w:val="18"/>
                <w:szCs w:val="18"/>
                <w:lang w:val="en-US" w:eastAsia="zh-CN"/>
              </w:rPr>
              <w:t>综合部</w:t>
            </w:r>
          </w:p>
        </w:tc>
        <w:tc>
          <w:tcPr>
            <w:tcW w:w="6804" w:type="dxa"/>
          </w:tcPr>
          <w:p>
            <w:pPr>
              <w:jc w:val="left"/>
              <w:rPr>
                <w:rFonts w:ascii="宋体" w:hAnsi="宋体"/>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能源评</w:t>
            </w:r>
            <w:r>
              <w:rPr>
                <w:rFonts w:hint="eastAsia" w:asciiTheme="minorEastAsia" w:hAnsiTheme="minorEastAsia" w:eastAsiaTheme="minorEastAsia" w:cstheme="minorEastAsia"/>
                <w:b w:val="0"/>
                <w:bCs w:val="0"/>
                <w:sz w:val="18"/>
                <w:szCs w:val="18"/>
                <w:u w:val="single"/>
                <w:lang w:val="en-US" w:eastAsia="zh-CN"/>
              </w:rPr>
              <w:t>审、能源绩效、能源基准、数据收集</w:t>
            </w:r>
            <w:r>
              <w:rPr>
                <w:rFonts w:hint="eastAsia" w:asciiTheme="minorEastAsia" w:hAnsiTheme="minorEastAsia" w:eastAsiaTheme="minorEastAsia" w:cstheme="minorEastAsia"/>
                <w:b w:val="0"/>
                <w:bCs w:val="0"/>
                <w:sz w:val="18"/>
                <w:szCs w:val="18"/>
                <w:lang w:val="en-US" w:eastAsia="zh-CN"/>
              </w:rPr>
              <w:t>计划的实施情况、沟通、合</w:t>
            </w:r>
            <w:r>
              <w:rPr>
                <w:rFonts w:hint="eastAsia" w:asciiTheme="minorEastAsia" w:hAnsiTheme="minorEastAsia" w:eastAsiaTheme="minorEastAsia" w:cstheme="minorEastAsia"/>
                <w:b w:val="0"/>
                <w:bCs w:val="0"/>
                <w:sz w:val="18"/>
                <w:szCs w:val="18"/>
                <w:u w:val="single"/>
                <w:lang w:val="en-US" w:eastAsia="zh-CN"/>
              </w:rPr>
              <w:t>规性评价</w:t>
            </w:r>
            <w:r>
              <w:rPr>
                <w:rFonts w:hint="eastAsia" w:asciiTheme="minorEastAsia" w:hAnsiTheme="minorEastAsia" w:eastAsiaTheme="minorEastAsia" w:cstheme="minorEastAsia"/>
                <w:b w:val="0"/>
                <w:bCs w:val="0"/>
                <w:sz w:val="18"/>
                <w:szCs w:val="18"/>
                <w:lang w:val="en-US" w:eastAsia="zh-CN"/>
              </w:rPr>
              <w:t>、不符合及纠正措施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18"/>
                <w:szCs w:val="18"/>
              </w:rPr>
            </w:pPr>
            <w:r>
              <w:rPr>
                <w:rFonts w:hint="eastAsia" w:asciiTheme="minorEastAsia" w:hAnsiTheme="minorEastAsia" w:eastAsiaTheme="minorEastAsia" w:cstheme="minorEastAsia"/>
                <w:b w:val="0"/>
                <w:bCs w:val="0"/>
                <w:sz w:val="18"/>
                <w:szCs w:val="18"/>
                <w:lang w:val="en-US" w:eastAsia="zh-CN"/>
              </w:rPr>
              <w:t>人力资源部</w:t>
            </w:r>
          </w:p>
        </w:tc>
        <w:tc>
          <w:tcPr>
            <w:tcW w:w="6804" w:type="dxa"/>
          </w:tcPr>
          <w:p>
            <w:pPr>
              <w:jc w:val="left"/>
              <w:rPr>
                <w:rFonts w:ascii="宋体" w:hAnsi="宋体"/>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职责权限、目标指标、教育培训及能源意识、 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18"/>
                <w:szCs w:val="18"/>
              </w:rPr>
            </w:pPr>
            <w:r>
              <w:rPr>
                <w:rFonts w:hint="eastAsia" w:asciiTheme="minorEastAsia" w:hAnsiTheme="minorEastAsia" w:eastAsiaTheme="minorEastAsia" w:cstheme="minorEastAsia"/>
                <w:b w:val="0"/>
                <w:bCs w:val="0"/>
                <w:sz w:val="18"/>
                <w:szCs w:val="18"/>
                <w:lang w:val="en-US" w:eastAsia="zh-CN"/>
              </w:rPr>
              <w:t>后勤中心</w:t>
            </w:r>
          </w:p>
        </w:tc>
        <w:tc>
          <w:tcPr>
            <w:tcW w:w="6804" w:type="dxa"/>
          </w:tcPr>
          <w:p>
            <w:pPr>
              <w:jc w:val="left"/>
              <w:rPr>
                <w:rFonts w:ascii="宋体" w:hAnsi="宋体"/>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职责和权限、目标方案、沟通、运行、不符合及纠正措施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18"/>
                <w:szCs w:val="18"/>
              </w:rPr>
            </w:pPr>
            <w:r>
              <w:rPr>
                <w:rFonts w:hint="eastAsia" w:asciiTheme="minorEastAsia" w:hAnsiTheme="minorEastAsia" w:eastAsiaTheme="minorEastAsia" w:cstheme="minorEastAsia"/>
                <w:b w:val="0"/>
                <w:bCs w:val="0"/>
                <w:sz w:val="18"/>
                <w:szCs w:val="18"/>
                <w:lang w:val="en-US" w:eastAsia="zh-CN"/>
              </w:rPr>
              <w:t>资产财务部</w:t>
            </w:r>
          </w:p>
        </w:tc>
        <w:tc>
          <w:tcPr>
            <w:tcW w:w="6804" w:type="dxa"/>
          </w:tcPr>
          <w:p>
            <w:pPr>
              <w:jc w:val="left"/>
              <w:rPr>
                <w:rFonts w:ascii="宋体" w:hAnsi="宋体"/>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目标方案、运行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napToGrid w:val="0"/>
              <w:spacing w:line="320" w:lineRule="exact"/>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生产运行部</w:t>
            </w:r>
          </w:p>
        </w:tc>
        <w:tc>
          <w:tcPr>
            <w:tcW w:w="6804" w:type="dxa"/>
          </w:tcPr>
          <w:p>
            <w:pPr>
              <w:jc w:val="left"/>
              <w:rPr>
                <w:rFonts w:ascii="宋体" w:hAnsi="宋体"/>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职责权限、能</w:t>
            </w:r>
            <w:r>
              <w:rPr>
                <w:rFonts w:hint="eastAsia" w:asciiTheme="minorEastAsia" w:hAnsiTheme="minorEastAsia" w:eastAsiaTheme="minorEastAsia" w:cstheme="minorEastAsia"/>
                <w:b w:val="0"/>
                <w:bCs w:val="0"/>
                <w:sz w:val="18"/>
                <w:szCs w:val="18"/>
                <w:u w:val="single"/>
                <w:lang w:val="en-US" w:eastAsia="zh-CN"/>
              </w:rPr>
              <w:t>源计量管</w:t>
            </w:r>
            <w:r>
              <w:rPr>
                <w:rFonts w:hint="eastAsia" w:asciiTheme="minorEastAsia" w:hAnsiTheme="minorEastAsia" w:eastAsiaTheme="minorEastAsia" w:cstheme="minorEastAsia"/>
                <w:b w:val="0"/>
                <w:bCs w:val="0"/>
                <w:sz w:val="18"/>
                <w:szCs w:val="18"/>
                <w:lang w:val="en-US" w:eastAsia="zh-CN"/>
              </w:rPr>
              <w:t>理、设备运维、落</w:t>
            </w:r>
            <w:r>
              <w:rPr>
                <w:rFonts w:hint="eastAsia" w:asciiTheme="minorEastAsia" w:hAnsiTheme="minorEastAsia" w:eastAsiaTheme="minorEastAsia" w:cstheme="minorEastAsia"/>
                <w:b w:val="0"/>
                <w:bCs w:val="0"/>
                <w:sz w:val="18"/>
                <w:szCs w:val="18"/>
                <w:u w:val="single"/>
                <w:lang w:val="en-US" w:eastAsia="zh-CN"/>
              </w:rPr>
              <w:t>后设备淘</w:t>
            </w:r>
            <w:r>
              <w:rPr>
                <w:rFonts w:hint="eastAsia" w:asciiTheme="minorEastAsia" w:hAnsiTheme="minorEastAsia" w:eastAsiaTheme="minorEastAsia" w:cstheme="minorEastAsia"/>
                <w:b w:val="0"/>
                <w:bCs w:val="0"/>
                <w:sz w:val="18"/>
                <w:szCs w:val="18"/>
                <w:lang w:val="en-US" w:eastAsia="zh-CN"/>
              </w:rPr>
              <w:t>汰、能源</w:t>
            </w:r>
            <w:r>
              <w:rPr>
                <w:rFonts w:hint="eastAsia" w:asciiTheme="minorEastAsia" w:hAnsiTheme="minorEastAsia" w:eastAsiaTheme="minorEastAsia" w:cstheme="minorEastAsia"/>
                <w:b w:val="0"/>
                <w:bCs w:val="0"/>
                <w:sz w:val="18"/>
                <w:szCs w:val="18"/>
                <w:u w:val="single"/>
                <w:lang w:val="en-US" w:eastAsia="zh-CN"/>
              </w:rPr>
              <w:t>项目管</w:t>
            </w:r>
            <w:r>
              <w:rPr>
                <w:rFonts w:hint="eastAsia" w:asciiTheme="minorEastAsia" w:hAnsiTheme="minorEastAsia" w:eastAsiaTheme="minorEastAsia" w:cstheme="minorEastAsia"/>
                <w:b w:val="0"/>
                <w:bCs w:val="0"/>
                <w:sz w:val="18"/>
                <w:szCs w:val="18"/>
                <w:lang w:val="en-US" w:eastAsia="zh-CN"/>
              </w:rPr>
              <w:t>理、能</w:t>
            </w:r>
            <w:r>
              <w:rPr>
                <w:rFonts w:hint="eastAsia" w:asciiTheme="minorEastAsia" w:hAnsiTheme="minorEastAsia" w:eastAsiaTheme="minorEastAsia" w:cstheme="minorEastAsia"/>
                <w:b w:val="0"/>
                <w:bCs w:val="0"/>
                <w:sz w:val="18"/>
                <w:szCs w:val="18"/>
                <w:u w:val="single"/>
                <w:lang w:val="en-US" w:eastAsia="zh-CN"/>
              </w:rPr>
              <w:t>源设计</w:t>
            </w:r>
            <w:r>
              <w:rPr>
                <w:rFonts w:hint="eastAsia" w:asciiTheme="minorEastAsia" w:hAnsiTheme="minorEastAsia" w:eastAsiaTheme="minorEastAsia" w:cstheme="minorEastAsia"/>
                <w:b w:val="0"/>
                <w:bCs w:val="0"/>
                <w:sz w:val="18"/>
                <w:szCs w:val="18"/>
                <w:lang w:val="en-US" w:eastAsia="zh-CN"/>
              </w:rPr>
              <w:t>、能源绩效监视测量 、应急响应、不符合及纠正措施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napToGrid w:val="0"/>
              <w:spacing w:line="320" w:lineRule="exact"/>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供销中心</w:t>
            </w:r>
          </w:p>
        </w:tc>
        <w:tc>
          <w:tcPr>
            <w:tcW w:w="6804" w:type="dxa"/>
          </w:tcPr>
          <w:p>
            <w:pPr>
              <w:jc w:val="left"/>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kern w:val="2"/>
                <w:sz w:val="18"/>
                <w:szCs w:val="18"/>
                <w:lang w:val="en-US" w:eastAsia="zh-CN" w:bidi="ar-SA"/>
              </w:rPr>
              <w:t>职责和权限、目标指标方案、能源采</w:t>
            </w:r>
            <w:r>
              <w:rPr>
                <w:rFonts w:hint="eastAsia" w:asciiTheme="minorEastAsia" w:hAnsiTheme="minorEastAsia" w:eastAsiaTheme="minorEastAsia" w:cstheme="minorEastAsia"/>
                <w:b w:val="0"/>
                <w:bCs w:val="0"/>
                <w:kern w:val="2"/>
                <w:sz w:val="18"/>
                <w:szCs w:val="18"/>
                <w:u w:val="single"/>
                <w:lang w:val="en-US" w:eastAsia="zh-CN" w:bidi="ar-SA"/>
              </w:rPr>
              <w:t>购及验证、采购合</w:t>
            </w:r>
            <w:r>
              <w:rPr>
                <w:rFonts w:hint="eastAsia" w:asciiTheme="minorEastAsia" w:hAnsiTheme="minorEastAsia" w:eastAsiaTheme="minorEastAsia" w:cstheme="minorEastAsia"/>
                <w:b w:val="0"/>
                <w:bCs w:val="0"/>
                <w:kern w:val="2"/>
                <w:sz w:val="18"/>
                <w:szCs w:val="18"/>
                <w:lang w:val="en-US" w:eastAsia="zh-CN" w:bidi="ar-SA"/>
              </w:rPr>
              <w:t>同评审、能源绩效监视测量、</w:t>
            </w:r>
            <w:r>
              <w:rPr>
                <w:rFonts w:hint="eastAsia" w:asciiTheme="minorEastAsia" w:hAnsiTheme="minorEastAsia" w:eastAsiaTheme="minorEastAsia" w:cstheme="minorEastAsia"/>
                <w:b w:val="0"/>
                <w:bCs w:val="0"/>
                <w:sz w:val="18"/>
                <w:szCs w:val="18"/>
                <w:lang w:val="en-US" w:eastAsia="zh-CN"/>
              </w:rPr>
              <w:t>不符合及纠正措施</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napToGrid w:val="0"/>
              <w:spacing w:line="320" w:lineRule="exact"/>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冶炼厂区</w:t>
            </w:r>
          </w:p>
          <w:p>
            <w:pPr>
              <w:jc w:val="center"/>
              <w:rPr>
                <w:rFonts w:hint="eastAsia" w:asciiTheme="minorEastAsia" w:hAnsiTheme="minorEastAsia" w:eastAsiaTheme="minorEastAsia" w:cstheme="minorEastAsia"/>
                <w:b/>
                <w:color w:val="000000" w:themeColor="text1"/>
                <w:sz w:val="18"/>
                <w:szCs w:val="18"/>
              </w:rPr>
            </w:pPr>
          </w:p>
        </w:tc>
        <w:tc>
          <w:tcPr>
            <w:tcW w:w="3249" w:type="dxa"/>
          </w:tcPr>
          <w:p>
            <w:pPr>
              <w:jc w:val="center"/>
              <w:rPr>
                <w:rFonts w:hint="eastAsia" w:asciiTheme="minorEastAsia" w:hAnsiTheme="minorEastAsia" w:eastAsiaTheme="minorEastAsia" w:cstheme="minorEastAsia"/>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职责和权限、目标指标方案、能源评审、能源绩效、能源基准、</w:t>
            </w:r>
            <w:r>
              <w:rPr>
                <w:rFonts w:hint="eastAsia" w:asciiTheme="minorEastAsia" w:hAnsiTheme="minorEastAsia" w:eastAsiaTheme="minorEastAsia" w:cstheme="minorEastAsia"/>
                <w:b w:val="0"/>
                <w:bCs w:val="0"/>
                <w:sz w:val="18"/>
                <w:szCs w:val="18"/>
                <w:u w:val="single"/>
                <w:lang w:val="en-US" w:eastAsia="zh-CN"/>
              </w:rPr>
              <w:t>运行策划和现场控</w:t>
            </w:r>
            <w:r>
              <w:rPr>
                <w:rFonts w:hint="eastAsia" w:asciiTheme="minorEastAsia" w:hAnsiTheme="minorEastAsia" w:eastAsiaTheme="minorEastAsia" w:cstheme="minorEastAsia"/>
                <w:b w:val="0"/>
                <w:bCs w:val="0"/>
                <w:sz w:val="18"/>
                <w:szCs w:val="18"/>
                <w:lang w:val="en-US" w:eastAsia="zh-CN"/>
              </w:rPr>
              <w:t>制（含能</w:t>
            </w:r>
            <w:r>
              <w:rPr>
                <w:rFonts w:hint="eastAsia" w:asciiTheme="minorEastAsia" w:hAnsiTheme="minorEastAsia" w:eastAsiaTheme="minorEastAsia" w:cstheme="minorEastAsia"/>
                <w:b w:val="0"/>
                <w:bCs w:val="0"/>
                <w:sz w:val="18"/>
                <w:szCs w:val="18"/>
                <w:u w:val="single"/>
                <w:lang w:val="en-US" w:eastAsia="zh-CN"/>
              </w:rPr>
              <w:t>源应急响应</w:t>
            </w:r>
            <w:r>
              <w:rPr>
                <w:rFonts w:hint="eastAsia" w:asciiTheme="minorEastAsia" w:hAnsiTheme="minorEastAsia" w:eastAsiaTheme="minorEastAsia" w:cstheme="minorEastAsia"/>
                <w:b w:val="0"/>
                <w:bCs w:val="0"/>
                <w:sz w:val="18"/>
                <w:szCs w:val="18"/>
                <w:lang w:val="en-US" w:eastAsia="zh-CN"/>
              </w:rPr>
              <w:t>）、监视测量、不符合及纠正措施</w:t>
            </w:r>
          </w:p>
        </w:tc>
        <w:tc>
          <w:tcPr>
            <w:tcW w:w="3555" w:type="dxa"/>
          </w:tcPr>
          <w:p>
            <w:pPr>
              <w:jc w:val="center"/>
              <w:rPr>
                <w:rFonts w:hint="eastAsia" w:asciiTheme="minorEastAsia" w:hAnsiTheme="minorEastAsia" w:eastAsiaTheme="minorEastAsia" w:cstheme="minorEastAsia"/>
                <w:b/>
                <w:color w:val="000000" w:themeColor="text1"/>
                <w:spacing w:val="-20"/>
                <w:sz w:val="18"/>
                <w:szCs w:val="18"/>
                <w:u w:val="single"/>
              </w:rPr>
            </w:pPr>
            <w:r>
              <w:rPr>
                <w:rFonts w:hint="eastAsia" w:asciiTheme="minorEastAsia" w:hAnsiTheme="minorEastAsia" w:eastAsiaTheme="minorEastAsia" w:cstheme="minorEastAsia"/>
                <w:sz w:val="18"/>
                <w:szCs w:val="18"/>
                <w:highlight w:val="none"/>
                <w:lang w:eastAsia="zh-CN"/>
              </w:rPr>
              <w:t>四川省凉山州会理县黎溪镇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napToGrid w:val="0"/>
              <w:spacing w:line="320" w:lineRule="exact"/>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采矿厂区</w:t>
            </w:r>
          </w:p>
          <w:p>
            <w:pPr>
              <w:jc w:val="center"/>
              <w:rPr>
                <w:rFonts w:hint="eastAsia" w:asciiTheme="minorEastAsia" w:hAnsiTheme="minorEastAsia" w:eastAsiaTheme="minorEastAsia" w:cstheme="minorEastAsia"/>
                <w:b/>
                <w:color w:val="000000" w:themeColor="text1"/>
                <w:sz w:val="18"/>
                <w:szCs w:val="18"/>
              </w:rPr>
            </w:pPr>
          </w:p>
        </w:tc>
        <w:tc>
          <w:tcPr>
            <w:tcW w:w="3249" w:type="dxa"/>
          </w:tcPr>
          <w:p>
            <w:pPr>
              <w:jc w:val="center"/>
              <w:rPr>
                <w:rFonts w:hint="eastAsia" w:asciiTheme="minorEastAsia" w:hAnsiTheme="minorEastAsia" w:eastAsiaTheme="minorEastAsia" w:cstheme="minorEastAsia"/>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职责和权限、目标指标方案、能源评审、能源绩效、能源基准、</w:t>
            </w:r>
            <w:r>
              <w:rPr>
                <w:rFonts w:hint="eastAsia" w:asciiTheme="minorEastAsia" w:hAnsiTheme="minorEastAsia" w:eastAsiaTheme="minorEastAsia" w:cstheme="minorEastAsia"/>
                <w:b w:val="0"/>
                <w:bCs w:val="0"/>
                <w:sz w:val="18"/>
                <w:szCs w:val="18"/>
                <w:u w:val="single"/>
                <w:lang w:val="en-US" w:eastAsia="zh-CN"/>
              </w:rPr>
              <w:t>运行策划和现场控</w:t>
            </w:r>
            <w:r>
              <w:rPr>
                <w:rFonts w:hint="eastAsia" w:asciiTheme="minorEastAsia" w:hAnsiTheme="minorEastAsia" w:eastAsiaTheme="minorEastAsia" w:cstheme="minorEastAsia"/>
                <w:b w:val="0"/>
                <w:bCs w:val="0"/>
                <w:sz w:val="18"/>
                <w:szCs w:val="18"/>
                <w:lang w:val="en-US" w:eastAsia="zh-CN"/>
              </w:rPr>
              <w:t>制、监视测量、不符合及纠正措施</w:t>
            </w:r>
          </w:p>
        </w:tc>
        <w:tc>
          <w:tcPr>
            <w:tcW w:w="3555" w:type="dxa"/>
          </w:tcPr>
          <w:p>
            <w:pPr>
              <w:jc w:val="center"/>
              <w:rPr>
                <w:rFonts w:hint="eastAsia" w:asciiTheme="minorEastAsia" w:hAnsiTheme="minorEastAsia" w:eastAsiaTheme="minorEastAsia" w:cstheme="minorEastAsia"/>
                <w:b/>
                <w:color w:val="000000" w:themeColor="text1"/>
                <w:spacing w:val="-20"/>
                <w:sz w:val="18"/>
                <w:szCs w:val="18"/>
                <w:u w:val="single"/>
              </w:rPr>
            </w:pPr>
            <w:r>
              <w:rPr>
                <w:rFonts w:hint="eastAsia" w:asciiTheme="minorEastAsia" w:hAnsiTheme="minorEastAsia" w:eastAsiaTheme="minorEastAsia" w:cstheme="minorEastAsia"/>
                <w:sz w:val="18"/>
                <w:szCs w:val="18"/>
                <w:highlight w:val="none"/>
                <w:lang w:eastAsia="zh-CN"/>
              </w:rPr>
              <w:t>四川省凉山州会理县绿水镇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snapToGrid w:val="0"/>
              <w:spacing w:line="320" w:lineRule="exact"/>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选矿厂区</w:t>
            </w:r>
          </w:p>
          <w:p>
            <w:pPr>
              <w:jc w:val="center"/>
              <w:rPr>
                <w:rFonts w:hint="eastAsia" w:asciiTheme="minorEastAsia" w:hAnsiTheme="minorEastAsia" w:eastAsiaTheme="minorEastAsia" w:cstheme="minorEastAsia"/>
                <w:b/>
                <w:color w:val="000000" w:themeColor="text1"/>
                <w:sz w:val="18"/>
                <w:szCs w:val="18"/>
              </w:rPr>
            </w:pPr>
          </w:p>
        </w:tc>
        <w:tc>
          <w:tcPr>
            <w:tcW w:w="3249" w:type="dxa"/>
          </w:tcPr>
          <w:p>
            <w:pPr>
              <w:jc w:val="center"/>
              <w:rPr>
                <w:rFonts w:hint="eastAsia" w:asciiTheme="minorEastAsia" w:hAnsiTheme="minorEastAsia" w:eastAsiaTheme="minorEastAsia" w:cstheme="minorEastAsia"/>
                <w:b/>
                <w:color w:val="000000" w:themeColor="text1"/>
                <w:spacing w:val="-20"/>
                <w:sz w:val="18"/>
                <w:szCs w:val="18"/>
                <w:u w:val="single"/>
              </w:rPr>
            </w:pPr>
            <w:r>
              <w:rPr>
                <w:rFonts w:hint="eastAsia" w:asciiTheme="minorEastAsia" w:hAnsiTheme="minorEastAsia" w:eastAsiaTheme="minorEastAsia" w:cstheme="minorEastAsia"/>
                <w:b w:val="0"/>
                <w:bCs w:val="0"/>
                <w:sz w:val="18"/>
                <w:szCs w:val="18"/>
                <w:lang w:val="en-US" w:eastAsia="zh-CN"/>
              </w:rPr>
              <w:t>职责和权限、目标指标方案、能源评审、能源绩效、能源基准、</w:t>
            </w:r>
            <w:r>
              <w:rPr>
                <w:rFonts w:hint="eastAsia" w:asciiTheme="minorEastAsia" w:hAnsiTheme="minorEastAsia" w:eastAsiaTheme="minorEastAsia" w:cstheme="minorEastAsia"/>
                <w:b w:val="0"/>
                <w:bCs w:val="0"/>
                <w:sz w:val="18"/>
                <w:szCs w:val="18"/>
                <w:u w:val="single"/>
                <w:lang w:val="en-US" w:eastAsia="zh-CN"/>
              </w:rPr>
              <w:t>运行策划和现场控</w:t>
            </w:r>
            <w:r>
              <w:rPr>
                <w:rFonts w:hint="eastAsia" w:asciiTheme="minorEastAsia" w:hAnsiTheme="minorEastAsia" w:eastAsiaTheme="minorEastAsia" w:cstheme="minorEastAsia"/>
                <w:b w:val="0"/>
                <w:bCs w:val="0"/>
                <w:sz w:val="18"/>
                <w:szCs w:val="18"/>
                <w:lang w:val="en-US" w:eastAsia="zh-CN"/>
              </w:rPr>
              <w:t>制、监视测量、不符合及纠正措施</w:t>
            </w:r>
          </w:p>
        </w:tc>
        <w:tc>
          <w:tcPr>
            <w:tcW w:w="3555" w:type="dxa"/>
          </w:tcPr>
          <w:p>
            <w:pPr>
              <w:jc w:val="center"/>
              <w:rPr>
                <w:rFonts w:hint="eastAsia" w:asciiTheme="minorEastAsia" w:hAnsiTheme="minorEastAsia" w:eastAsiaTheme="minorEastAsia" w:cstheme="minorEastAsia"/>
                <w:b/>
                <w:color w:val="000000" w:themeColor="text1"/>
                <w:spacing w:val="-20"/>
                <w:sz w:val="18"/>
                <w:szCs w:val="18"/>
                <w:u w:val="single"/>
              </w:rPr>
            </w:pPr>
            <w:r>
              <w:rPr>
                <w:rFonts w:hint="eastAsia" w:asciiTheme="minorEastAsia" w:hAnsiTheme="minorEastAsia" w:eastAsiaTheme="minorEastAsia" w:cstheme="minorEastAsia"/>
                <w:sz w:val="18"/>
                <w:szCs w:val="18"/>
                <w:highlight w:val="none"/>
                <w:lang w:eastAsia="zh-CN"/>
              </w:rPr>
              <w:t>四川省凉山州会理县绿水镇</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850"/>
        <w:gridCol w:w="1512"/>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85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512"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Times New Roman" w:hAnsi="Times New Roman" w:eastAsia="宋体" w:cs="Times New Roman"/>
                <w:sz w:val="18"/>
                <w:szCs w:val="18"/>
              </w:rPr>
            </w:pPr>
            <w:r>
              <w:rPr>
                <w:rFonts w:ascii="Times New Roman" w:hAnsi="Times New Roman" w:eastAsia="宋体" w:cs="Times New Roman"/>
                <w:sz w:val="18"/>
                <w:szCs w:val="18"/>
              </w:rPr>
              <w:t>铜矿开采、选矿</w:t>
            </w:r>
          </w:p>
        </w:tc>
        <w:tc>
          <w:tcPr>
            <w:tcW w:w="2850" w:type="dxa"/>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能源的采购、转换、传输及使用</w:t>
            </w:r>
          </w:p>
        </w:tc>
        <w:tc>
          <w:tcPr>
            <w:tcW w:w="1512"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18"/>
                <w:szCs w:val="18"/>
                <w:lang w:val="en-US" w:eastAsia="zh-CN"/>
              </w:rPr>
            </w:pPr>
          </w:p>
        </w:tc>
        <w:tc>
          <w:tcPr>
            <w:tcW w:w="3543"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de-DE" w:eastAsia="zh-CN"/>
              </w:rPr>
              <w:t>ISO50001:201</w:t>
            </w:r>
            <w:r>
              <w:rPr>
                <w:rFonts w:hint="eastAsia" w:ascii="Times New Roman" w:hAnsi="Times New Roman" w:eastAsia="宋体" w:cs="Times New Roman"/>
                <w:sz w:val="18"/>
                <w:szCs w:val="18"/>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18"/>
                <w:szCs w:val="18"/>
              </w:rPr>
            </w:pPr>
            <w:r>
              <w:rPr>
                <w:sz w:val="18"/>
                <w:szCs w:val="18"/>
              </w:rPr>
              <w:t>铜矿冶炼</w:t>
            </w:r>
          </w:p>
        </w:tc>
        <w:tc>
          <w:tcPr>
            <w:tcW w:w="2850" w:type="dxa"/>
          </w:tcPr>
          <w:p>
            <w:pPr>
              <w:rPr>
                <w:b/>
                <w:color w:val="000000" w:themeColor="text1"/>
                <w:sz w:val="18"/>
                <w:szCs w:val="18"/>
              </w:rPr>
            </w:pPr>
            <w:r>
              <w:rPr>
                <w:rFonts w:hint="eastAsia" w:ascii="Times New Roman" w:hAnsi="Times New Roman" w:eastAsia="宋体" w:cs="Times New Roman"/>
                <w:sz w:val="18"/>
                <w:szCs w:val="18"/>
                <w:lang w:val="en-US" w:eastAsia="zh-CN"/>
              </w:rPr>
              <w:t>能源的采购、转换、传输及使用</w:t>
            </w:r>
          </w:p>
        </w:tc>
        <w:tc>
          <w:tcPr>
            <w:tcW w:w="1512"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18"/>
                <w:szCs w:val="18"/>
                <w:lang w:val="en-US" w:eastAsia="zh-CN"/>
              </w:rPr>
            </w:pPr>
          </w:p>
        </w:tc>
        <w:tc>
          <w:tcPr>
            <w:tcW w:w="3543"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de-DE" w:eastAsia="zh-CN"/>
              </w:rPr>
              <w:t>ISO50001:201</w:t>
            </w:r>
            <w:r>
              <w:rPr>
                <w:rFonts w:hint="eastAsia" w:ascii="Times New Roman" w:hAnsi="Times New Roman" w:eastAsia="宋体" w:cs="Times New Roman"/>
                <w:sz w:val="18"/>
                <w:szCs w:val="18"/>
                <w:lang w:val="en-US" w:eastAsia="zh-CN"/>
              </w:rPr>
              <w:t>8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GB 21248-2014</w:t>
            </w:r>
            <w:r>
              <w:rPr>
                <w:rFonts w:hint="default" w:ascii="Times New Roman" w:hAnsi="Times New Roman" w:eastAsia="宋体" w:cs="Times New Roman"/>
                <w:sz w:val="18"/>
                <w:szCs w:val="18"/>
                <w:lang w:val="en-US" w:eastAsia="zh-CN"/>
              </w:rPr>
              <w:br w:type="textWrapping"/>
            </w:r>
            <w:r>
              <w:rPr>
                <w:rFonts w:hint="default" w:ascii="Times New Roman" w:hAnsi="Times New Roman" w:eastAsia="宋体" w:cs="Times New Roman"/>
                <w:sz w:val="18"/>
                <w:szCs w:val="18"/>
                <w:lang w:val="en-US" w:eastAsia="zh-CN"/>
              </w:rPr>
              <w:t>铜冶炼企业单位产品能源消耗限额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850" w:type="dxa"/>
          </w:tcPr>
          <w:p>
            <w:pPr>
              <w:rPr>
                <w:b/>
                <w:color w:val="000000" w:themeColor="text1"/>
                <w:sz w:val="20"/>
                <w:szCs w:val="20"/>
              </w:rPr>
            </w:pPr>
          </w:p>
        </w:tc>
        <w:tc>
          <w:tcPr>
            <w:tcW w:w="1512"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850" w:type="dxa"/>
          </w:tcPr>
          <w:p>
            <w:pPr>
              <w:rPr>
                <w:b/>
                <w:color w:val="000000" w:themeColor="text1"/>
                <w:sz w:val="20"/>
                <w:szCs w:val="20"/>
              </w:rPr>
            </w:pPr>
          </w:p>
        </w:tc>
        <w:tc>
          <w:tcPr>
            <w:tcW w:w="1512"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18"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8"/>
      <w:r>
        <w:rPr>
          <w:rFonts w:hint="eastAsia"/>
          <w:b/>
          <w:color w:val="000000" w:themeColor="text1"/>
          <w:spacing w:val="-10"/>
          <w:szCs w:val="21"/>
        </w:rPr>
        <w:t>至</w:t>
      </w:r>
      <w:r>
        <w:rPr>
          <w:rFonts w:hint="eastAsia"/>
          <w:b/>
          <w:color w:val="000000" w:themeColor="text1"/>
          <w:spacing w:val="-10"/>
          <w:szCs w:val="21"/>
          <w:lang w:val="en-US" w:eastAsia="zh-CN"/>
        </w:rPr>
        <w:t xml:space="preserve"> 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eastAsia="宋体"/>
                <w:b/>
                <w:color w:val="000000" w:themeColor="text1"/>
                <w:sz w:val="20"/>
                <w:szCs w:val="20"/>
                <w:lang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18"/>
                <w:szCs w:val="18"/>
                <w:lang w:val="en-US" w:eastAsia="zh-CN"/>
              </w:rPr>
              <w:t>基本准确有效；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b/>
                <w:color w:val="000000" w:themeColor="text1"/>
                <w:sz w:val="20"/>
                <w:szCs w:val="20"/>
              </w:rPr>
            </w:pPr>
            <w:r>
              <w:rPr>
                <w:rFonts w:hint="eastAsia"/>
                <w:b w:val="0"/>
                <w:bCs/>
                <w:color w:val="000000" w:themeColor="text1"/>
                <w:sz w:val="18"/>
                <w:szCs w:val="18"/>
                <w:lang w:val="en-US" w:eastAsia="zh-CN"/>
              </w:rPr>
              <w:t>基本准确有效；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lang w:val="en-US" w:eastAsia="zh-CN"/>
              </w:rPr>
              <w:t>能源</w:t>
            </w:r>
            <w:r>
              <w:rPr>
                <w:rFonts w:hint="eastAsia" w:ascii="宋体" w:hAnsi="宋体"/>
                <w:b/>
                <w:color w:val="000000" w:themeColor="text1"/>
                <w:sz w:val="20"/>
                <w:szCs w:val="20"/>
              </w:rPr>
              <w:t>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rFonts w:hint="default"/>
                <w:b/>
                <w:color w:val="000000" w:themeColor="text1"/>
                <w:lang w:val="en-US"/>
              </w:rPr>
            </w:pPr>
            <w:r>
              <w:rPr>
                <w:rFonts w:hint="eastAsia" w:ascii="Times New Roman" w:hAnsi="Times New Roman" w:eastAsia="宋体" w:cs="Times New Roman"/>
                <w:b w:val="0"/>
                <w:bCs/>
                <w:color w:val="000000" w:themeColor="text1"/>
                <w:sz w:val="18"/>
                <w:szCs w:val="18"/>
                <w:lang w:val="en-US" w:eastAsia="zh-CN"/>
              </w:rPr>
              <w:t>遵守法规 清洁生产；节能降耗 创新改造；能耗限额 持续改进——传达及理解基本有效；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eastAsia="宋体"/>
                <w:b/>
                <w:color w:val="000000" w:themeColor="text1"/>
                <w:spacing w:val="-4"/>
                <w:szCs w:val="21"/>
                <w:lang w:eastAsia="zh-CN"/>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r>
              <w:rPr>
                <w:rFonts w:hint="eastAsia" w:ascii="宋体" w:hAnsi="宋体"/>
                <w:b/>
                <w:color w:val="000000" w:themeColor="text1"/>
                <w:spacing w:val="-4"/>
                <w:szCs w:val="21"/>
                <w:lang w:eastAsia="zh-CN"/>
              </w:rPr>
              <w:t>（</w:t>
            </w:r>
            <w:r>
              <w:rPr>
                <w:rFonts w:hint="eastAsia" w:ascii="宋体" w:hAnsi="宋体"/>
                <w:b/>
                <w:color w:val="000000" w:themeColor="text1"/>
                <w:spacing w:val="-4"/>
                <w:szCs w:val="21"/>
                <w:lang w:val="en-US" w:eastAsia="zh-CN"/>
              </w:rPr>
              <w:t>能源</w:t>
            </w:r>
            <w:r>
              <w:rPr>
                <w:rFonts w:hint="eastAsia" w:ascii="宋体" w:hAnsi="宋体"/>
                <w:b/>
                <w:color w:val="000000" w:themeColor="text1"/>
                <w:spacing w:val="-4"/>
                <w:szCs w:val="21"/>
                <w:lang w:eastAsia="zh-CN"/>
              </w:rPr>
              <w:t>）</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val="0"/>
                <w:bCs/>
                <w:color w:val="000000" w:themeColor="text1"/>
                <w:szCs w:val="21"/>
              </w:rPr>
            </w:pPr>
            <w:r>
              <w:rPr>
                <w:rFonts w:hint="eastAsia" w:ascii="宋体" w:hAnsi="宋体"/>
                <w:b/>
                <w:color w:val="000000" w:themeColor="text1"/>
                <w:szCs w:val="21"/>
              </w:rPr>
              <w:t>法律法规的宣传方式：</w:t>
            </w:r>
            <w:r>
              <w:rPr>
                <w:rFonts w:hint="eastAsia" w:ascii="宋体" w:hAnsi="宋体"/>
                <w:b w:val="0"/>
                <w:bCs/>
                <w:color w:val="000000" w:themeColor="text1"/>
                <w:szCs w:val="21"/>
                <w:lang w:val="en-US" w:eastAsia="zh-CN"/>
              </w:rPr>
              <w:t>培训、宣贯传达等；</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w:t>
            </w:r>
            <w:r>
              <w:rPr>
                <w:rFonts w:hint="eastAsia" w:ascii="宋体" w:hAnsi="宋体"/>
                <w:b/>
                <w:color w:val="000000" w:themeColor="text1"/>
                <w:szCs w:val="21"/>
                <w:lang w:eastAsia="zh-CN"/>
              </w:rPr>
              <w:t>：</w:t>
            </w:r>
            <w:r>
              <w:rPr>
                <w:rFonts w:hint="eastAsia" w:ascii="宋体" w:hAnsi="宋体"/>
                <w:b w:val="0"/>
                <w:bCs/>
                <w:color w:val="000000" w:themeColor="text1"/>
                <w:szCs w:val="21"/>
                <w:lang w:val="en-US" w:eastAsia="zh-CN"/>
              </w:rPr>
              <w:t>有效；</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default" w:ascii="宋体" w:hAnsi="宋体" w:eastAsia="宋体"/>
                <w:b/>
                <w:color w:val="000000" w:themeColor="text1"/>
                <w:lang w:val="en-US" w:eastAsia="zh-CN"/>
              </w:rPr>
            </w:pPr>
            <w:r>
              <w:rPr>
                <w:rFonts w:hint="eastAsia" w:ascii="宋体" w:hAnsi="宋体"/>
                <w:b w:val="0"/>
                <w:bCs/>
                <w:color w:val="000000" w:themeColor="text1"/>
                <w:lang w:val="en-US" w:eastAsia="zh-CN"/>
              </w:rPr>
              <w:t>制定了公司2020年总能源目标、并分解为分厂级目标指标；提供2020年能源管理方案、确定了实施措施和验证方法及责任人、2020年目标基本实现。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r>
              <w:rPr>
                <w:rFonts w:hint="eastAsia"/>
              </w:rPr>
              <w:t>所有被抽样到的、被评审过的工作记录都是真实的。</w:t>
            </w:r>
          </w:p>
          <w:p>
            <w:pPr>
              <w:tabs>
                <w:tab w:val="left" w:pos="540"/>
              </w:tabs>
              <w:spacing w:line="240" w:lineRule="exact"/>
              <w:rPr>
                <w:rFonts w:ascii="宋体" w:hAnsi="宋体"/>
                <w:b/>
                <w:color w:val="000000" w:themeColor="text1"/>
                <w:sz w:val="20"/>
                <w:szCs w:val="20"/>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p>
          <w:p>
            <w:pPr>
              <w:spacing w:line="300" w:lineRule="exact"/>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体系覆盖额管理人员52人、其他现场操作人员822人；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熔炼炉、破碎机、提升机、运输车辆等生产设施、其他一般办公设备设施；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存在噪声、粉尘、有毒有害气体等干扰；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能源计量器具基本充分、包括水表、电表、地磅等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default" w:ascii="宋体" w:hAnsi="宋体"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铜矿冶炼及开采选矿等技术；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遵守能源方面的法律、法规及其他要求，积极推行清洁生产，从源头削减能源用量，促进循环经济发展。</w:t>
            </w:r>
          </w:p>
          <w:p>
            <w:pPr>
              <w:spacing w:line="300" w:lineRule="exact"/>
              <w:rPr>
                <w:rFonts w:hint="eastAsia"/>
                <w:b/>
                <w:color w:val="000000" w:themeColor="text1"/>
                <w:sz w:val="20"/>
                <w:szCs w:val="20"/>
              </w:rPr>
            </w:pPr>
            <w:r>
              <w:rPr>
                <w:rFonts w:hint="eastAsia" w:ascii="Times New Roman" w:hAnsi="Times New Roman" w:eastAsia="宋体" w:cs="Times New Roman"/>
                <w:b w:val="0"/>
                <w:bCs/>
                <w:color w:val="000000" w:themeColor="text1"/>
                <w:sz w:val="20"/>
                <w:szCs w:val="20"/>
              </w:rPr>
              <w:t>采用节能新技术、新工艺，不断创新改造，持续改进能源绩效，以降低能源消耗，提高能源利用效率</w:t>
            </w:r>
            <w:r>
              <w:rPr>
                <w:rFonts w:hint="eastAsia" w:ascii="Times New Roman" w:hAnsi="Times New Roman" w:eastAsia="宋体" w:cs="Times New Roman"/>
                <w:b w:val="0"/>
                <w:bCs/>
                <w:color w:val="000000" w:themeColor="text1"/>
                <w:sz w:val="20"/>
                <w:szCs w:val="20"/>
                <w:lang w:eastAsia="zh-CN"/>
              </w:rPr>
              <w:t>；</w:t>
            </w:r>
            <w:r>
              <w:rPr>
                <w:rFonts w:hint="eastAsia" w:ascii="Times New Roman" w:hAnsi="Times New Roman" w:eastAsia="宋体" w:cs="Times New Roman"/>
                <w:b w:val="0"/>
                <w:bCs/>
                <w:color w:val="000000" w:themeColor="text1"/>
                <w:sz w:val="20"/>
                <w:szCs w:val="20"/>
              </w:rPr>
              <w:t>合理用能，建立并持续改进能源管理体系，坚持以人为本，履行社会责任，实现可持续发展</w:t>
            </w:r>
            <w:r>
              <w:rPr>
                <w:rFonts w:hint="eastAsia" w:ascii="Times New Roman" w:hAnsi="Times New Roman" w:eastAsia="宋体" w:cs="Times New Roman"/>
                <w:b w:val="0"/>
                <w:bCs/>
                <w:color w:val="000000" w:themeColor="text1"/>
                <w:sz w:val="20"/>
                <w:szCs w:val="20"/>
                <w:lang w:eastAsia="zh-CN"/>
              </w:rPr>
              <w:t>；</w:t>
            </w:r>
            <w:r>
              <w:rPr>
                <w:rFonts w:hint="eastAsia" w:ascii="Times New Roman" w:hAnsi="Times New Roman" w:eastAsia="宋体" w:cs="Times New Roman"/>
                <w:b w:val="0"/>
                <w:bCs/>
                <w:color w:val="000000" w:themeColor="text1"/>
                <w:sz w:val="20"/>
                <w:szCs w:val="20"/>
              </w:rPr>
              <w:t>支持高效产品和服务的采购，支持积极改进能源绩效的设计</w:t>
            </w:r>
            <w:r>
              <w:rPr>
                <w:rFonts w:hint="eastAsia" w:ascii="Times New Roman" w:hAnsi="Times New Roman" w:eastAsia="宋体" w:cs="Times New Roman"/>
                <w:b w:val="0"/>
                <w:bCs/>
                <w:color w:val="000000" w:themeColor="text1"/>
                <w:sz w:val="20"/>
                <w:szCs w:val="20"/>
                <w:lang w:eastAsia="zh-CN"/>
              </w:rPr>
              <w:t>；</w:t>
            </w:r>
            <w:r>
              <w:rPr>
                <w:rFonts w:hint="eastAsia" w:ascii="Times New Roman" w:hAnsi="Times New Roman" w:eastAsia="宋体" w:cs="Times New Roman"/>
                <w:b w:val="0"/>
                <w:bCs/>
                <w:color w:val="000000" w:themeColor="text1"/>
                <w:sz w:val="20"/>
                <w:szCs w:val="20"/>
              </w:rPr>
              <w:t>为积极制定能源目标、指标提供方向和框架。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楷体_GB2312" w:eastAsia="楷体_GB2312"/>
                <w:b/>
                <w:color w:val="000000" w:themeColor="text1"/>
                <w:sz w:val="20"/>
                <w:szCs w:val="20"/>
                <w:lang w:val="en-US" w:eastAsia="zh-CN"/>
              </w:rPr>
              <w:t>培训、微信、网络</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很好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default" w:eastAsia="宋体"/>
                <w:b/>
                <w:color w:val="000000" w:themeColor="text1"/>
                <w:spacing w:val="-4"/>
                <w:sz w:val="20"/>
                <w:szCs w:val="20"/>
                <w:lang w:val="en-US" w:eastAsia="zh-CN"/>
              </w:rPr>
            </w:pPr>
            <w:r>
              <w:rPr>
                <w:rFonts w:hint="eastAsia"/>
                <w:b w:val="0"/>
                <w:bCs/>
                <w:color w:val="000000" w:themeColor="text1"/>
                <w:spacing w:val="-4"/>
                <w:sz w:val="20"/>
                <w:szCs w:val="20"/>
                <w:lang w:eastAsia="zh-CN"/>
              </w:rPr>
              <w:t>——</w:t>
            </w:r>
            <w:r>
              <w:rPr>
                <w:rFonts w:hint="eastAsia"/>
                <w:b w:val="0"/>
                <w:bCs/>
                <w:color w:val="000000" w:themeColor="text1"/>
                <w:spacing w:val="-4"/>
                <w:sz w:val="20"/>
                <w:szCs w:val="20"/>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hint="default" w:eastAsia="宋体"/>
                <w:b/>
                <w:color w:val="000000" w:themeColor="text1"/>
                <w:sz w:val="20"/>
                <w:szCs w:val="20"/>
                <w:lang w:val="en-US" w:eastAsia="zh-CN"/>
              </w:rPr>
            </w:pPr>
            <w:r>
              <w:rPr>
                <w:rFonts w:hint="eastAsia" w:asciiTheme="minorEastAsia" w:hAnsiTheme="minorEastAsia" w:eastAsiaTheme="minorEastAsia" w:cstheme="minorEastAsia"/>
                <w:b w:val="0"/>
                <w:bCs/>
                <w:color w:val="000000" w:themeColor="text1"/>
                <w:sz w:val="18"/>
                <w:szCs w:val="18"/>
                <w:lang w:val="en-US" w:eastAsia="zh-CN"/>
              </w:rPr>
              <w:t>2021.3.20~21进行了内审、审核方案中考虑到了重点区域和过程（冶炼厂、采选矿厂）、内审结论“基本符合标准要求”；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18"/>
                <w:szCs w:val="18"/>
                <w:lang w:val="en-US" w:eastAsia="zh-CN"/>
              </w:rPr>
              <w:t>2021.3.25进行了管评、有个部门主管输入信息、结论“适宜性充分性有效性”；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组织内审无不符合项；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因受审核方信息造成的</w:t>
            </w:r>
            <w:r>
              <w:rPr>
                <w:rFonts w:hint="eastAsia" w:ascii="宋体" w:hAnsi="宋体"/>
                <w:b/>
                <w:color w:val="000000" w:themeColor="text1"/>
                <w:szCs w:val="21"/>
                <w:lang w:val="en-US" w:eastAsia="zh-CN"/>
              </w:rPr>
              <w:t>人</w:t>
            </w:r>
            <w:r>
              <w:rPr>
                <w:rFonts w:hint="eastAsia" w:ascii="宋体" w:hAnsi="宋体"/>
                <w:b/>
                <w:color w:val="000000" w:themeColor="text1"/>
                <w:szCs w:val="21"/>
              </w:rPr>
              <w:t>日数或审核资源不足</w:t>
            </w:r>
          </w:p>
        </w:tc>
        <w:tc>
          <w:tcPr>
            <w:tcW w:w="4819" w:type="dxa"/>
          </w:tcPr>
          <w:p>
            <w:pPr>
              <w:snapToGrid w:val="0"/>
              <w:spacing w:line="360" w:lineRule="auto"/>
              <w:rPr>
                <w:rFonts w:hint="default" w:ascii="宋体" w:hAnsi="宋体" w:eastAsia="宋体"/>
                <w:b/>
                <w:color w:val="000000" w:themeColor="text1"/>
                <w:szCs w:val="21"/>
                <w:lang w:val="en-US" w:eastAsia="zh-CN"/>
              </w:rPr>
            </w:pPr>
            <w:r>
              <w:rPr>
                <w:rFonts w:hint="eastAsia" w:ascii="宋体" w:hAnsi="宋体"/>
                <w:b w:val="0"/>
                <w:bCs/>
                <w:color w:val="000000" w:themeColor="text1"/>
                <w:szCs w:val="21"/>
                <w:lang w:val="en-US" w:eastAsia="zh-CN"/>
              </w:rPr>
              <w:t>能耗数据统计仍不够充分</w:t>
            </w: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highlight w:val="none"/>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lang w:val="en-US" w:eastAsia="zh-CN"/>
              </w:rPr>
              <w:t>En</w:t>
            </w:r>
            <w:r>
              <w:rPr>
                <w:rFonts w:hint="eastAsia"/>
                <w:b/>
                <w:color w:val="000000" w:themeColor="text1"/>
                <w:sz w:val="22"/>
                <w:szCs w:val="22"/>
              </w:rPr>
              <w:t>MS的适宜性、充分性、运行有效性，自我完善机制等。管理体系满足适用要求和实现预期结果的</w:t>
            </w:r>
            <w:r>
              <w:rPr>
                <w:rFonts w:hint="eastAsia"/>
                <w:b/>
                <w:color w:val="000000" w:themeColor="text1"/>
                <w:sz w:val="22"/>
                <w:szCs w:val="22"/>
                <w:highlight w:val="none"/>
              </w:rPr>
              <w:t>能力。</w:t>
            </w:r>
          </w:p>
          <w:p>
            <w:pPr>
              <w:spacing w:line="280" w:lineRule="exact"/>
              <w:ind w:left="221" w:hanging="221" w:hangingChars="100"/>
              <w:rPr>
                <w:rFonts w:hint="eastAsia"/>
                <w:b/>
                <w:color w:val="000000" w:themeColor="text1"/>
                <w:sz w:val="22"/>
                <w:szCs w:val="22"/>
                <w:highlight w:val="none"/>
              </w:rPr>
            </w:pPr>
            <w:r>
              <w:rPr>
                <w:rFonts w:hint="eastAsia"/>
                <w:b/>
                <w:color w:val="000000" w:themeColor="text1"/>
                <w:sz w:val="22"/>
                <w:szCs w:val="22"/>
                <w:highlight w:val="none"/>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highlight w:val="none"/>
              </w:rPr>
              <w:t>□</w:t>
            </w:r>
            <w:r>
              <w:rPr>
                <w:rFonts w:hint="eastAsia"/>
                <w:b/>
                <w:color w:val="000000" w:themeColor="text1"/>
                <w:sz w:val="22"/>
                <w:szCs w:val="22"/>
                <w:highlight w:val="none"/>
              </w:rPr>
              <w:t xml:space="preserve">QMS  </w:t>
            </w:r>
            <w:r>
              <w:rPr>
                <w:rFonts w:hint="eastAsia"/>
                <w:b/>
                <w:color w:val="000000" w:themeColor="text1"/>
                <w:spacing w:val="-10"/>
                <w:szCs w:val="21"/>
                <w:highlight w:val="none"/>
              </w:rPr>
              <w:t>□</w:t>
            </w:r>
            <w:r>
              <w:rPr>
                <w:rFonts w:hint="eastAsia"/>
                <w:b/>
                <w:color w:val="000000" w:themeColor="text1"/>
                <w:sz w:val="22"/>
                <w:szCs w:val="22"/>
                <w:highlight w:val="none"/>
              </w:rPr>
              <w:t xml:space="preserve">EMS  </w:t>
            </w:r>
            <w:r>
              <w:rPr>
                <w:rFonts w:hint="eastAsia"/>
                <w:b/>
                <w:color w:val="000000" w:themeColor="text1"/>
                <w:spacing w:val="-10"/>
                <w:szCs w:val="21"/>
                <w:highlight w:val="none"/>
                <w:lang w:eastAsia="zh-CN"/>
              </w:rPr>
              <w:t>☑</w:t>
            </w:r>
            <w:r>
              <w:rPr>
                <w:rFonts w:hint="eastAsia"/>
                <w:b/>
                <w:color w:val="000000" w:themeColor="text1"/>
                <w:sz w:val="22"/>
                <w:szCs w:val="22"/>
                <w:highlight w:val="none"/>
                <w:lang w:val="en-US" w:eastAsia="zh-CN"/>
              </w:rPr>
              <w:t>En</w:t>
            </w:r>
            <w:r>
              <w:rPr>
                <w:rFonts w:hint="eastAsia"/>
                <w:b/>
                <w:color w:val="000000" w:themeColor="text1"/>
                <w:sz w:val="22"/>
                <w:szCs w:val="22"/>
                <w:highlight w:val="none"/>
              </w:rPr>
              <w:t>MS持续的符合性及运行的有</w:t>
            </w:r>
            <w:r>
              <w:rPr>
                <w:rFonts w:hint="eastAsia"/>
                <w:b/>
                <w:color w:val="000000" w:themeColor="text1"/>
                <w:sz w:val="22"/>
                <w:szCs w:val="22"/>
              </w:rPr>
              <w:t>效性，以及与认证范围的持续相关性和适宜性及自我完善机制等。</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color w:val="000000" w:themeColor="text1"/>
                <w:spacing w:val="0"/>
                <w:kern w:val="2"/>
                <w:sz w:val="22"/>
                <w:szCs w:val="22"/>
                <w:highlight w:val="none"/>
                <w:lang w:val="en-US" w:eastAsia="zh-CN" w:bidi="ar-SA"/>
              </w:rPr>
            </w:pPr>
            <w:r>
              <w:rPr>
                <w:rFonts w:hint="eastAsia" w:ascii="Times New Roman" w:hAnsi="Times New Roman" w:eastAsia="宋体" w:cs="Times New Roman"/>
                <w:b w:val="0"/>
                <w:bCs/>
                <w:color w:val="000000" w:themeColor="text1"/>
                <w:spacing w:val="0"/>
                <w:kern w:val="2"/>
                <w:sz w:val="22"/>
                <w:szCs w:val="22"/>
                <w:highlight w:val="none"/>
                <w:lang w:val="en-US" w:eastAsia="zh-CN" w:bidi="ar-SA"/>
              </w:rPr>
              <w:t>组织自体系建立以来、确定了能源方针和目标、最高管理者指派了能源管代并任命了相关能源岗位、发布了手册和程序文件、指定编制了“能源管理制度”、识别了组织的内外部环境问题和相关方要求、特别是识别了组织的风险机遇等关乎企业发展的影响能源绩效的问题；在公司统一领导下各部门分厂积极参与到能源体系的建设中来、编制了《能源评审报告》确定了能源绩效参数和基准、提供了能源培训、完善了公司文件化信息体系、建立了能源内外部信息渠道、收集并传达了本组织相关的能源法律法规和相关方要求、建立了各主要生产部门的能源管理的经济运行作业文件、各生产环节严格按照要求实施了能源管理实现节能绩效、另组织在能源采购和设计等方面给与高度重视、力争从源头抓手节能降耗的目标指标，组织建立了监视测量分析机制对重点用能单位的基准及绩效参数做了适时对比、结果表明满足国标队铜矿冶炼行业的限额标准、组织的合规性评价表明在遵守国家地方的能源法律法规和其他要求方面也满足要求，组织自体系建立以来进行了基本有效的内审和管评、对发现的问题及时纠正并采取纠正措施和预</w:t>
            </w:r>
            <w:r>
              <w:rPr>
                <w:rFonts w:hint="eastAsia" w:ascii="Times New Roman" w:hAnsi="Times New Roman" w:eastAsia="宋体" w:cs="Times New Roman"/>
                <w:b w:val="0"/>
                <w:bCs/>
                <w:color w:val="000000" w:themeColor="text1"/>
                <w:spacing w:val="0"/>
                <w:kern w:val="2"/>
                <w:sz w:val="22"/>
                <w:szCs w:val="22"/>
                <w:highlight w:val="none"/>
                <w:lang w:val="en-US" w:eastAsia="zh-CN" w:bidi="ar-SA"/>
              </w:rPr>
              <w:t>防措施、对风险机遇的把控满足要求、组织在近一年来的体系运行中未发生能源相关的事故、无相关方投诉、无地方政府的处罚；组织基本上做到了在满足生产要求的前提下的体系运行的适宜性充分性有效性及自我完善机制、基</w:t>
            </w:r>
            <w:r>
              <w:rPr>
                <w:rFonts w:hint="eastAsia" w:ascii="Times New Roman" w:hAnsi="Times New Roman" w:eastAsia="宋体" w:cs="Times New Roman"/>
                <w:b w:val="0"/>
                <w:bCs/>
                <w:color w:val="000000" w:themeColor="text1"/>
                <w:spacing w:val="0"/>
                <w:kern w:val="2"/>
                <w:sz w:val="22"/>
                <w:szCs w:val="22"/>
                <w:highlight w:val="none"/>
                <w:lang w:val="en-US" w:eastAsia="zh-CN" w:bidi="ar-SA"/>
              </w:rPr>
              <w:t>本满足能源管理体系标准的要求。</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lang w:val="en-US" w:eastAsia="zh-CN"/>
              </w:rPr>
              <w:t>En</w:t>
            </w:r>
            <w:r>
              <w:rPr>
                <w:rFonts w:hint="eastAsia" w:ascii="宋体" w:hAnsi="宋体"/>
                <w:b/>
                <w:color w:val="000000" w:themeColor="text1"/>
              </w:rPr>
              <w:t>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lang w:val="en-US" w:eastAsia="zh-CN"/>
              </w:rPr>
              <w:t>En</w:t>
            </w:r>
            <w:r>
              <w:rPr>
                <w:rFonts w:hint="eastAsia"/>
                <w:b/>
                <w:color w:val="000000" w:themeColor="text1"/>
                <w:szCs w:val="21"/>
              </w:rPr>
              <w:t>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975" w:firstLineChars="2360"/>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lang w:val="en-US" w:eastAsia="zh-CN"/>
        </w:rPr>
        <w:t>En</w:t>
      </w:r>
      <w:r>
        <w:rPr>
          <w:rFonts w:hint="eastAsia"/>
          <w:b/>
          <w:color w:val="000000" w:themeColor="text1"/>
          <w:szCs w:val="21"/>
        </w:rPr>
        <w:t xml:space="preserve">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bookmarkStart w:id="20" w:name="_GoBack"/>
      <w:bookmarkEnd w:id="20"/>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w:t>
      </w:r>
      <w:r>
        <w:rPr>
          <w:rFonts w:hint="eastAsia"/>
          <w:b/>
          <w:color w:val="000000" w:themeColor="text1"/>
          <w:szCs w:val="21"/>
          <w:lang w:val="en-US" w:eastAsia="zh-CN"/>
        </w:rPr>
        <w:t>En</w:t>
      </w:r>
      <w:r>
        <w:rPr>
          <w:rFonts w:hint="eastAsia"/>
          <w:b/>
          <w:color w:val="000000" w:themeColor="text1"/>
          <w:szCs w:val="21"/>
        </w:rPr>
        <w:t>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9"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F50C"/>
    <w:multiLevelType w:val="singleLevel"/>
    <w:tmpl w:val="00FFF50C"/>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AA6C1E"/>
    <w:rsid w:val="0A493B58"/>
    <w:rsid w:val="22F00253"/>
    <w:rsid w:val="2C7F4987"/>
    <w:rsid w:val="555D50E8"/>
    <w:rsid w:val="66B0504F"/>
    <w:rsid w:val="6F5F3A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Tony</cp:lastModifiedBy>
  <cp:lastPrinted>2019-05-13T03:19:00Z</cp:lastPrinted>
  <dcterms:modified xsi:type="dcterms:W3CDTF">2021-04-24T02:57:50Z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