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浙江澳华机电制造有限公司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陆斌</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ISC-JSZJ-282</w:t>
            </w:r>
          </w:p>
          <w:p>
            <w:pPr>
              <w:jc w:val="center"/>
              <w:rPr>
                <w:b/>
                <w:sz w:val="21"/>
                <w:szCs w:val="21"/>
              </w:rPr>
            </w:pPr>
            <w:r>
              <w:rPr>
                <w:b/>
                <w:sz w:val="21"/>
                <w:szCs w:val="21"/>
              </w:rPr>
              <w:t>ISC-JSZJ-282</w:t>
            </w:r>
          </w:p>
          <w:p>
            <w:pPr>
              <w:jc w:val="center"/>
              <w:rPr>
                <w:b/>
                <w:sz w:val="21"/>
                <w:szCs w:val="21"/>
              </w:rPr>
            </w:pPr>
            <w:r>
              <w:rPr>
                <w:b/>
                <w:sz w:val="21"/>
                <w:szCs w:val="21"/>
              </w:rPr>
              <w:t>嘉兴光大变压器制造有限公司</w:t>
            </w:r>
          </w:p>
        </w:tc>
        <w:tc>
          <w:tcPr>
            <w:tcW w:w="1728" w:type="dxa"/>
            <w:gridSpan w:val="2"/>
            <w:vAlign w:val="center"/>
          </w:tcPr>
          <w:p>
            <w:pPr>
              <w:jc w:val="center"/>
              <w:rPr>
                <w:b/>
                <w:sz w:val="21"/>
                <w:szCs w:val="21"/>
              </w:rPr>
            </w:pPr>
            <w:r>
              <w:rPr>
                <w:b/>
                <w:sz w:val="21"/>
                <w:szCs w:val="21"/>
              </w:rPr>
              <w:t>Q:19.09.01,19.14.00,19.16.00</w:t>
            </w:r>
          </w:p>
          <w:p>
            <w:pPr>
              <w:jc w:val="center"/>
              <w:rPr>
                <w:b/>
                <w:sz w:val="21"/>
                <w:szCs w:val="21"/>
              </w:rPr>
            </w:pPr>
            <w:r>
              <w:rPr>
                <w:b/>
                <w:sz w:val="21"/>
                <w:szCs w:val="21"/>
              </w:rPr>
              <w:t>O:19.09.01,19.14.00,19.16.00</w:t>
            </w:r>
          </w:p>
        </w:tc>
        <w:tc>
          <w:tcPr>
            <w:tcW w:w="1729" w:type="dxa"/>
            <w:gridSpan w:val="2"/>
            <w:vAlign w:val="center"/>
          </w:tcPr>
          <w:p>
            <w:pPr>
              <w:jc w:val="center"/>
              <w:rPr>
                <w:b/>
                <w:sz w:val="21"/>
                <w:szCs w:val="21"/>
              </w:rPr>
            </w:pPr>
            <w:r>
              <w:rPr>
                <w:b/>
                <w:sz w:val="21"/>
                <w:szCs w:val="21"/>
              </w:rPr>
              <w:t>ISC-JSZJ-282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浙江澳华机电制造有限公司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浙江省嘉兴市南湖区七星街道永富路158号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314102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浙江省嘉兴市南湖区七星街道永富路158号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314102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浙江省嘉兴市南湖区七星街道永富路158号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314102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姚家俊</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0573-83888012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陆慧</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宋玮</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2021年04月18日 上午至2021年04月19日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变压器、电抗器、冷却器、换热器的制造；变压器的修理（需资质许可除外）</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变压器、电抗器、冷却器、换热器的制造；变压器的修理（需资质许可除外）及其所涉及的职业健康安全管理活动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Q：19.09.01;19.14.00;19.16.00</w:t>
            </w:r>
          </w:p>
          <w:p>
            <w:pPr>
              <w:spacing w:line="260" w:lineRule="exact"/>
              <w:rPr>
                <w:rFonts w:ascii="宋体" w:hAnsi="宋体"/>
                <w:b/>
                <w:sz w:val="21"/>
                <w:szCs w:val="21"/>
              </w:rPr>
            </w:pPr>
            <w:r>
              <w:rPr>
                <w:rFonts w:ascii="宋体" w:hAnsi="宋体"/>
                <w:b/>
                <w:sz w:val="21"/>
                <w:szCs w:val="21"/>
              </w:rPr>
              <w:t>O：19.09.01;19.14.00;19.16.00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2023.3.23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2020.1.6-9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1"/>
              </w:numPr>
              <w:spacing w:line="240" w:lineRule="exact"/>
              <w:rPr>
                <w:rFonts w:ascii="宋体" w:hAnsi="宋体"/>
                <w:b/>
                <w:sz w:val="21"/>
                <w:szCs w:val="21"/>
              </w:rPr>
            </w:pPr>
            <w:r>
              <w:rPr>
                <w:rFonts w:hint="eastAsia"/>
              </w:rPr>
              <w:t>公司确定了与质量职业健康安全管理体系有关的相关方包括顾客、政府机构、社区、股东、供应商、内部员工等。相关方对企业的要求有：遵守国家的现行法律法规、保持有效的资质、生产过程节能环保安全卫生，对环境无重大污染、对人员无重大伤害，不断提高技术水平以及不断提高客户满意度等。公司通过关注顾客需求，通过持续改进增强用户满意；遵守国家和地方各项法律法规，履行合规义务；以下行为满足相关方需求和期望：持续改进管理体系过程，提升管理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exact"/>
              <w:ind w:right="210"/>
              <w:rPr>
                <w:rFonts w:ascii="宋体" w:hAnsi="宋体" w:cs="宋体"/>
                <w:bCs/>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t>1.</w:t>
            </w:r>
            <w:r>
              <w:rPr>
                <w:rFonts w:hint="eastAsia" w:cs="宋体"/>
              </w:rPr>
              <w:t>管理方针：</w:t>
            </w:r>
            <w:r>
              <w:rPr>
                <w:rFonts w:hint="eastAsia" w:ascii="宋体" w:hAnsi="宋体" w:cs="宋体"/>
                <w:bCs/>
                <w:szCs w:val="21"/>
              </w:rPr>
              <w:t>满足客户社会需求    缔造绿色电器产品；</w:t>
            </w:r>
          </w:p>
          <w:p>
            <w:pPr>
              <w:spacing w:line="360" w:lineRule="exact"/>
              <w:ind w:right="210" w:firstLine="1320" w:firstLineChars="550"/>
              <w:rPr>
                <w:rFonts w:ascii="宋体" w:hAnsi="宋体" w:cs="宋体"/>
                <w:bCs/>
                <w:szCs w:val="21"/>
              </w:rPr>
            </w:pPr>
            <w:r>
              <w:rPr>
                <w:rFonts w:hint="eastAsia" w:ascii="宋体" w:hAnsi="宋体" w:cs="宋体"/>
                <w:bCs/>
                <w:szCs w:val="21"/>
              </w:rPr>
              <w:t>坚持预防为主思想    杜绝事故安全隐患；</w:t>
            </w:r>
          </w:p>
          <w:p>
            <w:pPr>
              <w:spacing w:line="360" w:lineRule="exact"/>
              <w:ind w:right="210" w:firstLine="1320" w:firstLineChars="550"/>
              <w:rPr>
                <w:rFonts w:ascii="宋体" w:hAnsi="宋体" w:cs="宋体"/>
                <w:bCs/>
                <w:szCs w:val="21"/>
              </w:rPr>
            </w:pPr>
            <w:r>
              <w:rPr>
                <w:rFonts w:hint="eastAsia" w:ascii="宋体" w:hAnsi="宋体" w:cs="宋体"/>
                <w:bCs/>
                <w:szCs w:val="21"/>
              </w:rPr>
              <w:t>增强持续创新意识    打造国际知名品牌；</w:t>
            </w:r>
          </w:p>
          <w:p>
            <w:pPr>
              <w:spacing w:line="360" w:lineRule="exact"/>
              <w:ind w:right="210" w:firstLine="1320" w:firstLineChars="550"/>
              <w:rPr>
                <w:rFonts w:ascii="宋体" w:hAnsi="宋体" w:cs="宋体"/>
                <w:bCs/>
                <w:szCs w:val="21"/>
              </w:rPr>
            </w:pPr>
            <w:r>
              <w:rPr>
                <w:rFonts w:hint="eastAsia" w:ascii="宋体" w:hAnsi="宋体" w:cs="宋体"/>
                <w:bCs/>
                <w:szCs w:val="21"/>
              </w:rPr>
              <w:t>遵守国家法律法规    共建和谐社会环境。</w:t>
            </w:r>
          </w:p>
          <w:p>
            <w:pPr>
              <w:spacing w:line="340" w:lineRule="exact"/>
            </w:pPr>
            <w:r>
              <w:t xml:space="preserve">2. </w:t>
            </w:r>
            <w:r>
              <w:rPr>
                <w:rFonts w:hint="eastAsia" w:cs="宋体"/>
              </w:rPr>
              <w:t>管理方针与企业的经营宗旨相适应，协调；</w:t>
            </w:r>
          </w:p>
          <w:p>
            <w:pPr>
              <w:spacing w:line="280" w:lineRule="exact"/>
              <w:rPr>
                <w:rFonts w:ascii="宋体" w:hAnsi="宋体"/>
                <w:b/>
                <w:sz w:val="21"/>
                <w:szCs w:val="2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ascii="宋体" w:hAnsi="宋体"/>
                <w:b/>
                <w:sz w:val="21"/>
                <w:szCs w:val="21"/>
              </w:rPr>
            </w:pPr>
            <w:r>
              <w:rPr>
                <w:rFonts w:hint="eastAsia"/>
              </w:rPr>
              <w:t>公司编制《</w:t>
            </w:r>
            <w:r>
              <w:rPr>
                <w:rFonts w:ascii="宋体" w:hAnsi="宋体"/>
                <w:kern w:val="0"/>
                <w:szCs w:val="21"/>
              </w:rPr>
              <w:t>应对风险和机遇的措施表</w:t>
            </w:r>
            <w:r>
              <w:rPr>
                <w:rFonts w:hint="eastAsia"/>
              </w:rPr>
              <w:t>》，公司分别从顾客要求、公司内部、外部供方等方面识别了必要的风险和机遇，如：方针和目标变更的需求，产品标准变更、法律法规变更、外部环境变化等风险，制定了相应的应对措施，制定了负责的部门和具体的实施方案，需要的资金和日程安排等，如针对顾客需求的变更，由供销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Cs w:val="21"/>
              </w:rPr>
              <w:t>生产和服务提供过程；产品和服务的放行；</w:t>
            </w:r>
            <w:r>
              <w:rPr>
                <w:rFonts w:hint="eastAsia" w:ascii="宋体" w:hAnsi="宋体" w:cs="宋体"/>
                <w:kern w:val="0"/>
                <w:szCs w:val="21"/>
              </w:rPr>
              <w:t>外部提供产品、服务和过程</w:t>
            </w:r>
          </w:p>
          <w:p>
            <w:pPr>
              <w:tabs>
                <w:tab w:val="left" w:pos="540"/>
              </w:tabs>
              <w:spacing w:line="340" w:lineRule="exact"/>
              <w:ind w:left="201" w:hanging="201" w:hangingChars="100"/>
              <w:rPr>
                <w:rFonts w:ascii="宋体" w:hAnsi="宋体"/>
                <w:b/>
                <w:color w:val="000000" w:themeColor="text1"/>
                <w:sz w:val="24"/>
                <w:szCs w:val="24"/>
                <w:u w:val="single"/>
              </w:rPr>
            </w:pPr>
            <w:r>
              <w:rPr>
                <w:rFonts w:hint="eastAsia" w:ascii="宋体" w:hAnsi="宋体"/>
                <w:b/>
                <w:color w:val="000000" w:themeColor="text1"/>
                <w:sz w:val="20"/>
                <w:szCs w:val="20"/>
              </w:rPr>
              <w:t>其中关键过程有：</w:t>
            </w:r>
            <w:r>
              <w:rPr>
                <w:rFonts w:hint="eastAsia" w:ascii="宋体" w:hAnsi="宋体"/>
                <w:color w:val="000000"/>
                <w:sz w:val="24"/>
                <w:szCs w:val="24"/>
                <w:lang w:val="en-US" w:eastAsia="zh-CN"/>
              </w:rPr>
              <w:t>钻孔、浸漆、焊接、试验</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color w:val="000000"/>
                <w:sz w:val="24"/>
                <w:szCs w:val="24"/>
              </w:rPr>
              <w:t>焊接</w:t>
            </w:r>
          </w:p>
          <w:p>
            <w:pPr>
              <w:tabs>
                <w:tab w:val="left" w:pos="540"/>
              </w:tabs>
              <w:spacing w:line="300" w:lineRule="exact"/>
              <w:ind w:left="211" w:hanging="201" w:hangingChars="100"/>
              <w:rPr>
                <w:rFonts w:hint="default" w:ascii="宋体" w:hAnsi="宋体" w:eastAsia="宋体"/>
                <w:b/>
                <w:sz w:val="21"/>
                <w:szCs w:val="21"/>
                <w:lang w:val="en-US" w:eastAsia="zh-CN"/>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none"/>
              </w:rPr>
              <w:t xml:space="preserve">8.3 </w:t>
            </w:r>
            <w:r>
              <w:rPr>
                <w:rFonts w:hint="eastAsia" w:ascii="宋体" w:hAnsi="宋体"/>
                <w:b/>
                <w:color w:val="000000" w:themeColor="text1"/>
                <w:sz w:val="20"/>
                <w:szCs w:val="20"/>
              </w:rPr>
              <w:t>，不适用理由：</w:t>
            </w:r>
            <w:r>
              <w:rPr>
                <w:rFonts w:hint="eastAsia"/>
                <w:szCs w:val="21"/>
                <w:u w:val="none"/>
              </w:rPr>
              <w:t>公司产品依据国标、行业标准、客户要求进行生产，工艺成熟稳定，无设计开发要求，故不适用GB/T19001-2016标准的8.3条款</w:t>
            </w:r>
            <w:r>
              <w:rPr>
                <w:rFonts w:hint="eastAsia"/>
                <w:szCs w:val="21"/>
                <w:u w:val="none"/>
                <w:lang w:eastAsia="zh-CN"/>
              </w:rPr>
              <w:t>，</w:t>
            </w:r>
            <w:r>
              <w:rPr>
                <w:rFonts w:hint="eastAsia"/>
                <w:szCs w:val="21"/>
                <w:u w:val="none"/>
                <w:lang w:val="en-US" w:eastAsia="zh-CN"/>
              </w:rPr>
              <w:t>且不影响满足顾客要求执行法律法规要求的能力和责任。</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szCs w:val="21"/>
                <w:lang w:val="en-US" w:eastAsia="zh-CN"/>
              </w:rPr>
              <w:t>行政部</w:t>
            </w:r>
            <w:r>
              <w:rPr>
                <w:rFonts w:hint="eastAsia" w:ascii="宋体" w:hAnsi="宋体"/>
                <w:szCs w:val="21"/>
              </w:rPr>
              <w:t>组织各部门根据部门所涉及的危险源进行识别，并评价出重大危险源，提供重大危险源评价记录，目前危险源识别基本完整，评价的</w:t>
            </w:r>
            <w:r>
              <w:rPr>
                <w:rFonts w:hint="eastAsia"/>
              </w:rPr>
              <w:t>不可接受风险为</w:t>
            </w:r>
            <w:r>
              <w:rPr>
                <w:rFonts w:hint="eastAsia"/>
                <w:szCs w:val="21"/>
              </w:rPr>
              <w:t>火灾、触电、机械伤害、噪声伤害、废气伤害</w:t>
            </w:r>
            <w:r>
              <w:rPr>
                <w:rFonts w:hint="eastAsia" w:ascii="宋体" w:hAnsi="宋体" w:cs="宋体"/>
                <w:szCs w:val="21"/>
                <w:lang w:val="en-GB"/>
              </w:rPr>
              <w:t>，</w:t>
            </w:r>
            <w:r>
              <w:rPr>
                <w:rFonts w:hint="eastAsia" w:ascii="宋体" w:hAnsi="宋体" w:cs="宋体"/>
                <w:szCs w:val="21"/>
              </w:rPr>
              <w:t>危险源</w:t>
            </w:r>
            <w:r>
              <w:rPr>
                <w:rFonts w:hint="eastAsia" w:ascii="宋体" w:hAnsi="宋体" w:cs="宋体"/>
                <w:szCs w:val="21"/>
                <w:lang w:val="en-GB"/>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4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4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4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tabs>
                <w:tab w:val="left" w:pos="0"/>
              </w:tabs>
              <w:spacing w:line="240" w:lineRule="exact"/>
              <w:rPr>
                <w:rFonts w:ascii="宋体" w:hAnsi="宋体"/>
                <w:b/>
                <w:sz w:val="21"/>
                <w:szCs w:val="21"/>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40" w:lineRule="exact"/>
              <w:rPr>
                <w:rFonts w:cs="宋体"/>
              </w:rPr>
            </w:pPr>
            <w:r>
              <w:rPr>
                <w:rFonts w:hint="eastAsia" w:cs="宋体"/>
              </w:rPr>
              <w:t>公司目标：</w:t>
            </w:r>
            <w:r>
              <w:rPr>
                <w:rFonts w:hint="eastAsia"/>
                <w:szCs w:val="21"/>
              </w:rPr>
              <w:t>产品一次性交验合格率≥99%；顾客满意程度≥98%</w:t>
            </w:r>
            <w:bookmarkStart w:id="28" w:name="_Toc138848257"/>
            <w:r>
              <w:rPr>
                <w:rFonts w:hint="eastAsia"/>
                <w:szCs w:val="21"/>
              </w:rPr>
              <w:t>；杜绝死亡、重伤事故、火灾事故</w:t>
            </w:r>
            <w:bookmarkEnd w:id="28"/>
            <w:r>
              <w:rPr>
                <w:rFonts w:hint="eastAsia"/>
                <w:szCs w:val="21"/>
              </w:rPr>
              <w:t>；轻伤事故每年不超过3起；杜绝职业病的发生</w:t>
            </w:r>
            <w:r>
              <w:rPr>
                <w:rFonts w:hint="eastAsia" w:cs="宋体"/>
              </w:rPr>
              <w:t>。</w:t>
            </w:r>
          </w:p>
          <w:p>
            <w:pPr>
              <w:spacing w:line="240" w:lineRule="exact"/>
              <w:rPr>
                <w:rFonts w:ascii="宋体" w:hAnsi="宋体"/>
                <w:b/>
                <w:sz w:val="21"/>
                <w:szCs w:val="21"/>
              </w:rPr>
            </w:pPr>
            <w:r>
              <w:rPr>
                <w:rFonts w:hint="eastAsia" w:ascii="宋体" w:cs="宋体"/>
                <w:szCs w:val="21"/>
              </w:rPr>
              <w:t>提供了文件化可分解的目标、指标，经查问分解到各部门，经查阅建立的管理目标符合标准要求，在方针的框架下展开，每季度考核一次，提供</w:t>
            </w:r>
            <w:r>
              <w:rPr>
                <w:rFonts w:hint="eastAsia"/>
              </w:rPr>
              <w:t>20</w:t>
            </w:r>
            <w:r>
              <w:rPr>
                <w:rFonts w:hint="eastAsia"/>
                <w:lang w:val="en-US" w:eastAsia="zh-CN"/>
              </w:rPr>
              <w:t>21</w:t>
            </w:r>
            <w:r>
              <w:rPr>
                <w:rFonts w:hint="eastAsia"/>
              </w:rPr>
              <w:t>年</w:t>
            </w:r>
            <w:r>
              <w:rPr>
                <w:rFonts w:hint="eastAsia"/>
                <w:lang w:val="en-US" w:eastAsia="zh-CN"/>
              </w:rPr>
              <w:t>1</w:t>
            </w:r>
            <w:r>
              <w:rPr>
                <w:rFonts w:hint="eastAsia"/>
              </w:rPr>
              <w:t>季度目标考核记录</w:t>
            </w:r>
            <w:r>
              <w:rPr>
                <w:rFonts w:hint="eastAsia" w:ascii="宋体" w:cs="宋体"/>
                <w:szCs w:val="21"/>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cs="宋体"/>
              </w:rPr>
              <w:t>管理体系文件由</w:t>
            </w:r>
            <w:r>
              <w:rPr>
                <w:rFonts w:hint="eastAsia" w:cs="宋体"/>
                <w:lang w:val="en-US" w:eastAsia="zh-CN"/>
              </w:rPr>
              <w:t>行政部</w:t>
            </w:r>
            <w:r>
              <w:rPr>
                <w:rFonts w:hint="eastAsia" w:cs="宋体"/>
              </w:rPr>
              <w:t>组织编写，总经理批准发布实施，</w:t>
            </w:r>
            <w:r>
              <w:rPr>
                <w:rFonts w:hint="eastAsia" w:cs="宋体"/>
                <w:lang w:val="en-US" w:eastAsia="zh-CN"/>
              </w:rPr>
              <w:t>行政部</w:t>
            </w:r>
            <w:r>
              <w:rPr>
                <w:rFonts w:hint="eastAsia"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val="en-US" w:eastAsia="zh-CN"/>
              </w:rPr>
              <w:t>行政部</w:t>
            </w:r>
            <w:r>
              <w:rPr>
                <w:rFonts w:hint="eastAsia" w:cs="宋体"/>
              </w:rPr>
              <w:t>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Cs w:val="21"/>
              </w:rPr>
              <w:t>公司共有员工25人，其</w:t>
            </w:r>
            <w:r>
              <w:rPr>
                <w:rFonts w:hint="eastAsia" w:ascii="Times New Roman" w:hAnsi="Times New Roman" w:cs="宋体"/>
              </w:rPr>
              <w:t>中管理人员6人，满足生产</w:t>
            </w:r>
            <w:r>
              <w:rPr>
                <w:rFonts w:hint="eastAsia" w:ascii="Times New Roman" w:hAnsi="Times New Roman" w:cs="宋体"/>
                <w:lang w:eastAsia="zh-CN"/>
              </w:rPr>
              <w:t>、</w:t>
            </w:r>
            <w:r>
              <w:rPr>
                <w:rFonts w:hint="eastAsia" w:ascii="Times New Roman" w:hAnsi="Times New Roman" w:cs="宋体"/>
                <w:lang w:val="en-US" w:eastAsia="zh-CN"/>
              </w:rPr>
              <w:t>维修</w:t>
            </w:r>
            <w:r>
              <w:rPr>
                <w:rFonts w:hint="eastAsia" w:ascii="Times New Roman" w:hAnsi="Times New Roman" w:cs="宋体"/>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szCs w:val="21"/>
              </w:rPr>
              <w:t>主要设备：箱绕机、高压自动绕线机、鼓风电热恒温干燥箱、低压绕线机、钻铣机床、数控机床、剪板机真空浸漆设备、液压冲孔机、冲床、电焊机、切割机、折弯机等、压力机等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Cs w:val="21"/>
              </w:rPr>
              <w:t>公司占地20亩、车间3600平米、办公面积800平米</w:t>
            </w:r>
            <w:r>
              <w:rPr>
                <w:rFonts w:hint="eastAsia" w:cs="宋体"/>
                <w:szCs w:val="21"/>
              </w:rPr>
              <w:t>，生产车间1个，办公楼1座</w:t>
            </w:r>
            <w:r>
              <w:rPr>
                <w:rFonts w:hint="eastAsia"/>
                <w:szCs w:val="21"/>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szCs w:val="21"/>
              </w:rPr>
              <w:t>绝缘电阻表、电流表、红外温度计、电压表、万用表钢卷尺、游标卡尺、千分尺；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szCs w:val="21"/>
              </w:rPr>
              <w:t>公司对法律法规及其他要求进行了获取，包括</w:t>
            </w:r>
            <w:r>
              <w:rPr>
                <w:rFonts w:hint="eastAsia"/>
              </w:rPr>
              <w:t>质量法、合同法、劳动法、消防法、仓库防火安全管理</w:t>
            </w:r>
            <w:r>
              <w:rPr>
                <w:rFonts w:hint="eastAsia"/>
                <w:szCs w:val="21"/>
              </w:rPr>
              <w:t>规则、</w:t>
            </w:r>
            <w:r>
              <w:rPr>
                <w:rFonts w:hint="eastAsia" w:ascii="Times New Roman" w:hAnsi="Times New Roman" w:cs="Times New Roman"/>
                <w:szCs w:val="21"/>
              </w:rPr>
              <w:t>劳动保护用品管理规定、GB 1094.11-2007</w:t>
            </w:r>
            <w:r>
              <w:rPr>
                <w:rFonts w:hint="eastAsia" w:ascii="Times New Roman" w:hAnsi="Times New Roman" w:cs="Times New Roman"/>
                <w:szCs w:val="21"/>
                <w:lang w:eastAsia="zh-CN"/>
              </w:rPr>
              <w:t>《</w:t>
            </w:r>
            <w:r>
              <w:rPr>
                <w:rFonts w:hint="eastAsia" w:ascii="Times New Roman" w:hAnsi="Times New Roman" w:cs="Times New Roman"/>
                <w:szCs w:val="21"/>
              </w:rPr>
              <w:t>电力变压器 第11部分：干式变压器</w:t>
            </w:r>
            <w:r>
              <w:rPr>
                <w:rFonts w:hint="eastAsia" w:ascii="Times New Roman" w:hAnsi="Times New Roman" w:cs="Times New Roman"/>
                <w:szCs w:val="21"/>
                <w:lang w:eastAsia="zh-CN"/>
              </w:rPr>
              <w:t>》</w:t>
            </w:r>
            <w:r>
              <w:rPr>
                <w:rFonts w:hint="eastAsia" w:ascii="Times New Roman" w:hAnsi="Times New Roman" w:cs="Times New Roman"/>
                <w:szCs w:val="21"/>
              </w:rPr>
              <w:t>、DL/T 264-2012</w:t>
            </w:r>
            <w:r>
              <w:rPr>
                <w:rFonts w:hint="eastAsia" w:ascii="Times New Roman" w:hAnsi="Times New Roman" w:cs="Times New Roman"/>
                <w:szCs w:val="21"/>
                <w:lang w:eastAsia="zh-CN"/>
              </w:rPr>
              <w:t>《</w:t>
            </w:r>
            <w:r>
              <w:rPr>
                <w:rFonts w:hint="eastAsia" w:ascii="Times New Roman" w:hAnsi="Times New Roman" w:cs="Times New Roman"/>
                <w:szCs w:val="21"/>
              </w:rPr>
              <w:t>油浸式电力变压器（电抗器）现场密封性试验导则</w:t>
            </w:r>
            <w:r>
              <w:rPr>
                <w:rFonts w:hint="eastAsia" w:ascii="Times New Roman" w:hAnsi="Times New Roman" w:cs="Times New Roman"/>
                <w:szCs w:val="21"/>
                <w:lang w:eastAsia="zh-CN"/>
              </w:rPr>
              <w:t>》</w:t>
            </w:r>
            <w:r>
              <w:rPr>
                <w:rFonts w:hint="eastAsia" w:ascii="Times New Roman" w:hAnsi="Times New Roman" w:cs="Times New Roman"/>
                <w:szCs w:val="21"/>
              </w:rPr>
              <w:t xml:space="preserve">、GB 1728-1979(1989) </w:t>
            </w:r>
            <w:r>
              <w:rPr>
                <w:rFonts w:hint="eastAsia" w:ascii="Times New Roman" w:hAnsi="Times New Roman" w:cs="Times New Roman"/>
                <w:szCs w:val="21"/>
                <w:lang w:eastAsia="zh-CN"/>
              </w:rPr>
              <w:t>《</w:t>
            </w:r>
            <w:r>
              <w:rPr>
                <w:rFonts w:hint="eastAsia" w:ascii="Times New Roman" w:hAnsi="Times New Roman" w:cs="Times New Roman"/>
                <w:szCs w:val="21"/>
              </w:rPr>
              <w:t>漆膜,腻子膜干燥时间测定法</w:t>
            </w:r>
            <w:r>
              <w:rPr>
                <w:rFonts w:hint="eastAsia" w:ascii="Times New Roman" w:hAnsi="Times New Roman" w:cs="Times New Roman"/>
                <w:szCs w:val="21"/>
                <w:lang w:eastAsia="zh-CN"/>
              </w:rPr>
              <w:t>》、</w:t>
            </w:r>
            <w:r>
              <w:rPr>
                <w:rFonts w:hint="eastAsia" w:ascii="Times New Roman" w:hAnsi="Times New Roman" w:cs="Times New Roman"/>
                <w:szCs w:val="21"/>
              </w:rPr>
              <w:t>GB/T6451-2015</w:t>
            </w:r>
            <w:r>
              <w:rPr>
                <w:rFonts w:hint="eastAsia" w:ascii="Times New Roman" w:hAnsi="Times New Roman" w:cs="Times New Roman"/>
                <w:szCs w:val="21"/>
                <w:lang w:eastAsia="zh-CN"/>
              </w:rPr>
              <w:t>《</w:t>
            </w:r>
            <w:r>
              <w:rPr>
                <w:rFonts w:hint="eastAsia" w:ascii="Times New Roman" w:hAnsi="Times New Roman" w:cs="Times New Roman"/>
                <w:szCs w:val="21"/>
              </w:rPr>
              <w:t>油浸式电力变压器技术参数和要求</w:t>
            </w:r>
            <w:r>
              <w:rPr>
                <w:rFonts w:hint="eastAsia" w:ascii="Times New Roman" w:hAnsi="Times New Roman" w:cs="Times New Roman"/>
                <w:szCs w:val="21"/>
                <w:lang w:eastAsia="zh-CN"/>
              </w:rPr>
              <w:t>》</w:t>
            </w:r>
            <w:r>
              <w:rPr>
                <w:rFonts w:hint="eastAsia" w:ascii="Times New Roman" w:hAnsi="Times New Roman" w:cs="Times New Roman"/>
                <w:szCs w:val="21"/>
              </w:rPr>
              <w:t>、GB/T 19000-2016《质量管理体系 基础和术语》、GB/T19001-2016《质量管理体系 要求》、ISO45001：2018《职业健康安全管理体系 要求及使用指南》等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color w:val="000000" w:themeColor="text1"/>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themeColor="text1"/>
                <w:sz w:val="20"/>
                <w:szCs w:val="20"/>
              </w:rPr>
              <w:t>警示牌、灭火器、手套、安全帽、面罩、耳塞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exact"/>
              <w:ind w:right="210"/>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exact"/>
              <w:ind w:right="210"/>
            </w:pPr>
            <w:r>
              <w:t>1.</w:t>
            </w:r>
            <w:r>
              <w:rPr>
                <w:rFonts w:hint="eastAsia" w:cs="宋体"/>
              </w:rPr>
              <w:t>管理方针：</w:t>
            </w:r>
            <w:r>
              <w:rPr>
                <w:rFonts w:hint="eastAsia" w:ascii="宋体" w:hAnsi="宋体" w:cs="宋体"/>
                <w:bCs/>
                <w:szCs w:val="21"/>
              </w:rPr>
              <w:t>满足客户社会需求</w:t>
            </w:r>
            <w:r>
              <w:rPr>
                <w:rFonts w:hint="eastAsia" w:ascii="宋体" w:hAnsi="宋体" w:cs="宋体"/>
                <w:bCs/>
                <w:szCs w:val="21"/>
                <w:lang w:eastAsia="zh-CN"/>
              </w:rPr>
              <w:t>、</w:t>
            </w:r>
            <w:r>
              <w:rPr>
                <w:rFonts w:hint="eastAsia" w:ascii="宋体" w:hAnsi="宋体" w:cs="宋体"/>
                <w:bCs/>
                <w:szCs w:val="21"/>
              </w:rPr>
              <w:t>缔造绿色电器产品；坚持预防为主思想</w:t>
            </w:r>
            <w:r>
              <w:rPr>
                <w:rFonts w:hint="eastAsia" w:ascii="宋体" w:hAnsi="宋体" w:cs="宋体"/>
                <w:bCs/>
                <w:szCs w:val="21"/>
                <w:lang w:eastAsia="zh-CN"/>
              </w:rPr>
              <w:t>、</w:t>
            </w:r>
            <w:r>
              <w:rPr>
                <w:rFonts w:hint="eastAsia" w:ascii="宋体" w:hAnsi="宋体" w:cs="宋体"/>
                <w:bCs/>
                <w:szCs w:val="21"/>
              </w:rPr>
              <w:t>杜绝事故安全隐患；增强持续创新意识</w:t>
            </w:r>
            <w:r>
              <w:rPr>
                <w:rFonts w:hint="eastAsia" w:ascii="宋体" w:hAnsi="宋体" w:cs="宋体"/>
                <w:bCs/>
                <w:szCs w:val="21"/>
                <w:lang w:eastAsia="zh-CN"/>
              </w:rPr>
              <w:t>、</w:t>
            </w:r>
            <w:r>
              <w:rPr>
                <w:rFonts w:hint="eastAsia" w:ascii="宋体" w:hAnsi="宋体" w:cs="宋体"/>
                <w:bCs/>
                <w:szCs w:val="21"/>
              </w:rPr>
              <w:t>打造国际知名品牌；遵守国家法律法规</w:t>
            </w:r>
            <w:r>
              <w:rPr>
                <w:rFonts w:hint="eastAsia" w:ascii="宋体" w:hAnsi="宋体" w:cs="宋体"/>
                <w:bCs/>
                <w:szCs w:val="21"/>
                <w:lang w:eastAsia="zh-CN"/>
              </w:rPr>
              <w:t>、</w:t>
            </w:r>
            <w:r>
              <w:rPr>
                <w:rFonts w:hint="eastAsia" w:ascii="宋体" w:hAnsi="宋体" w:cs="宋体"/>
                <w:bCs/>
                <w:szCs w:val="21"/>
              </w:rPr>
              <w:t>共建和谐社会环境。</w:t>
            </w:r>
          </w:p>
          <w:p>
            <w:pPr>
              <w:spacing w:line="340" w:lineRule="exact"/>
            </w:pPr>
            <w:r>
              <w:t>2.</w:t>
            </w:r>
            <w:r>
              <w:rPr>
                <w:rFonts w:hint="eastAsia" w:cs="宋体"/>
              </w:rPr>
              <w:t>管理方针与企业的经营宗旨相适应，协调；</w:t>
            </w:r>
          </w:p>
          <w:p>
            <w:pPr>
              <w:spacing w:line="300" w:lineRule="exact"/>
              <w:ind w:left="1"/>
              <w:rPr>
                <w:rFonts w:ascii="宋体" w:hAnsi="宋体"/>
                <w:b/>
                <w:sz w:val="21"/>
                <w:szCs w:val="2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40" w:lineRule="exact"/>
              <w:ind w:left="159" w:hanging="167" w:hangingChars="79"/>
              <w:rPr>
                <w:rFonts w:ascii="楷体_GB2312" w:eastAsia="楷体_GB2312"/>
                <w:b/>
                <w:color w:val="000000" w:themeColor="text1"/>
                <w:sz w:val="20"/>
                <w:szCs w:val="20"/>
              </w:rPr>
            </w:pPr>
            <w:r>
              <w:rPr>
                <w:rFonts w:ascii="宋体" w:hAnsi="宋体"/>
                <w:b/>
                <w:sz w:val="21"/>
                <w:szCs w:val="21"/>
              </w:rPr>
              <w:t xml:space="preserve">2. </w:t>
            </w:r>
            <w:r>
              <w:rPr>
                <w:rFonts w:hint="eastAsia"/>
                <w:b/>
                <w:color w:val="000000" w:themeColor="text1"/>
                <w:sz w:val="20"/>
                <w:szCs w:val="20"/>
              </w:rPr>
              <w:t>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3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szCs w:val="21"/>
              </w:rPr>
              <w:t>对顾客回访，进行满意度调查。</w:t>
            </w:r>
          </w:p>
          <w:p>
            <w:pPr>
              <w:spacing w:line="340" w:lineRule="exact"/>
              <w:rPr>
                <w:rFonts w:ascii="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外部信息的接收、成文并答复的情况（E、S填写）：与</w:t>
            </w:r>
            <w:r>
              <w:rPr>
                <w:rFonts w:hint="eastAsia" w:ascii="宋体" w:hAnsi="宋体"/>
                <w:szCs w:val="21"/>
              </w:rPr>
              <w:t>上级主管部门的沟通，目前沟通都较为顺畅。</w:t>
            </w:r>
          </w:p>
          <w:p>
            <w:pPr>
              <w:spacing w:line="3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Cs w:val="21"/>
              </w:rPr>
              <w:t>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szCs w:val="21"/>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14"/>
              <w:autoSpaceDE/>
              <w:autoSpaceDN/>
              <w:adjustRightInd/>
              <w:spacing w:line="340" w:lineRule="exact"/>
              <w:ind w:firstLine="480" w:firstLineChars="200"/>
              <w:rPr>
                <w:color w:val="auto"/>
                <w:kern w:val="2"/>
                <w:sz w:val="24"/>
                <w:szCs w:val="24"/>
                <w:lang w:val="en-GB"/>
              </w:rPr>
            </w:pPr>
            <w:r>
              <w:rPr>
                <w:rFonts w:hint="eastAsia" w:ascii="宋体" w:hAnsi="宋体"/>
                <w:color w:val="auto"/>
                <w:kern w:val="2"/>
                <w:sz w:val="24"/>
                <w:szCs w:val="24"/>
              </w:rPr>
              <w:t>采购过程控制（包括外包过程）：首先编制进货检验规程等作业文件规定采购产品质量要求；其次对采购供方（包括外包方）进行了评价，保证采购产品/服务的质量符合公司要求；通过制定采购计划实施采购，目前采购过程控制符合要求</w:t>
            </w:r>
            <w:r>
              <w:rPr>
                <w:rFonts w:hint="eastAsia"/>
                <w:color w:val="auto"/>
                <w:kern w:val="2"/>
                <w:sz w:val="24"/>
                <w:szCs w:val="24"/>
              </w:rPr>
              <w:t>。</w:t>
            </w:r>
          </w:p>
          <w:p>
            <w:pPr>
              <w:spacing w:line="340" w:lineRule="exact"/>
              <w:ind w:firstLine="420"/>
              <w:rPr>
                <w:rFonts w:hint="eastAsia"/>
                <w:szCs w:val="21"/>
              </w:rPr>
            </w:pPr>
            <w:r>
              <w:rPr>
                <w:rFonts w:hint="eastAsia" w:ascii="宋体" w:hAnsi="宋体"/>
                <w:color w:val="000000"/>
                <w:szCs w:val="21"/>
              </w:rPr>
              <w:t>生产和服务提供过程控制：</w:t>
            </w:r>
            <w:r>
              <w:rPr>
                <w:rFonts w:hint="eastAsia"/>
                <w:szCs w:val="21"/>
              </w:rPr>
              <w:t>根据合同策划调度人员、原材料—提供任务书、操作规程、作业指导书。对主要生产加工过程设立了监控点，随机抽检检查，确保生产过程、服务过程质量，</w:t>
            </w:r>
            <w:r>
              <w:rPr>
                <w:rFonts w:hint="eastAsia" w:ascii="宋体" w:hAnsi="宋体"/>
                <w:szCs w:val="21"/>
                <w:lang w:val="en-GB"/>
              </w:rPr>
              <w:t>主要控制的</w:t>
            </w:r>
            <w:r>
              <w:rPr>
                <w:rFonts w:hint="eastAsia" w:ascii="宋体" w:hAnsi="宋体" w:cs="Times New Roman"/>
                <w:color w:val="000000"/>
                <w:szCs w:val="21"/>
                <w:lang w:val="en-GB"/>
              </w:rPr>
              <w:t>过程有</w:t>
            </w:r>
            <w:r>
              <w:rPr>
                <w:rFonts w:hint="eastAsia" w:ascii="宋体" w:hAnsi="宋体" w:cs="Times New Roman"/>
                <w:color w:val="000000"/>
                <w:szCs w:val="21"/>
              </w:rPr>
              <w:t>冷却器、换热器（芯组组装、总装、检验）、变压器、电抗器（绕线圈、浸漆、组装）</w:t>
            </w:r>
            <w:r>
              <w:rPr>
                <w:rFonts w:hint="eastAsia" w:ascii="宋体" w:hAnsi="宋体" w:cs="Times New Roman"/>
                <w:color w:val="000000"/>
                <w:szCs w:val="21"/>
                <w:lang w:val="en-GB"/>
              </w:rPr>
              <w:t>；制定了生产</w:t>
            </w:r>
            <w:r>
              <w:rPr>
                <w:rFonts w:hint="eastAsia" w:ascii="宋体" w:hAnsi="宋体" w:cs="Times New Roman"/>
                <w:color w:val="000000"/>
                <w:szCs w:val="21"/>
              </w:rPr>
              <w:t>设备管理制度、设备操作规程、作业指导书、成品检验规范等管理技术文件；配备了箱绕机、高压自动绕线机、鼓</w:t>
            </w:r>
            <w:r>
              <w:rPr>
                <w:rFonts w:hint="eastAsia"/>
                <w:szCs w:val="21"/>
              </w:rPr>
              <w:t>风电热恒温干燥箱、低压绕线机、钻铣机床、数控机床、剪板机真空浸漆设备、液压冲孔机、冲床、电焊机、切割机、折弯机等、压力机</w:t>
            </w:r>
            <w:r>
              <w:rPr>
                <w:rFonts w:hint="eastAsia" w:ascii="宋体" w:hAnsi="宋体"/>
                <w:szCs w:val="21"/>
              </w:rPr>
              <w:t>等生产设备；下料工序主要控制外观/尺寸，焊接工序主要控制电流，</w:t>
            </w:r>
            <w:r>
              <w:rPr>
                <w:rFonts w:hint="eastAsia" w:ascii="宋体" w:hAnsi="宋体"/>
                <w:szCs w:val="21"/>
                <w:lang w:val="en-GB"/>
              </w:rPr>
              <w:t>现场查看各工序均按照要求进行操作，</w:t>
            </w:r>
            <w:r>
              <w:rPr>
                <w:rFonts w:hint="eastAsia" w:ascii="宋体" w:hAnsi="宋体"/>
                <w:szCs w:val="21"/>
              </w:rPr>
              <w:t>经查符合要求</w:t>
            </w:r>
            <w:r>
              <w:rPr>
                <w:rFonts w:hint="eastAsia"/>
                <w:szCs w:val="21"/>
              </w:rPr>
              <w:t>。</w:t>
            </w:r>
          </w:p>
          <w:p>
            <w:pPr>
              <w:spacing w:line="340" w:lineRule="exact"/>
              <w:ind w:firstLine="420"/>
              <w:rPr>
                <w:szCs w:val="21"/>
              </w:rPr>
            </w:pPr>
            <w:r>
              <w:rPr>
                <w:rFonts w:hint="eastAsia" w:ascii="宋体" w:hAnsi="宋体"/>
                <w:szCs w:val="21"/>
              </w:rPr>
              <w:t>监测设备控制：建立了监测设</w:t>
            </w:r>
            <w:r>
              <w:rPr>
                <w:rFonts w:hint="eastAsia" w:ascii="Times New Roman" w:hAnsi="Times New Roman" w:cs="Times New Roman"/>
                <w:szCs w:val="21"/>
              </w:rPr>
              <w:t>备台帐，包括绝缘电阻表、电流表、红外温度计、电压表、万用表钢卷尺、游标卡尺、千分尺，基本满足目前产品检测要求，现场提供对钢卷尺、游标卡尺、千分尺进行了校准/检定合格使用的证据</w:t>
            </w:r>
            <w:r>
              <w:rPr>
                <w:rFonts w:hint="eastAsia" w:cs="Times New Roman"/>
                <w:szCs w:val="21"/>
                <w:lang w:eastAsia="zh-CN"/>
              </w:rPr>
              <w:t>。</w:t>
            </w:r>
            <w:r>
              <w:rPr>
                <w:rFonts w:hint="eastAsia" w:ascii="Times New Roman" w:hAnsi="Times New Roman" w:cs="Times New Roman"/>
                <w:szCs w:val="21"/>
                <w:lang w:val="en-GB"/>
              </w:rPr>
              <w:t>产品和服务的放行：</w:t>
            </w:r>
            <w:r>
              <w:rPr>
                <w:rFonts w:hint="eastAsia" w:ascii="Times New Roman" w:hAnsi="Times New Roman" w:cs="Times New Roman"/>
                <w:szCs w:val="21"/>
              </w:rPr>
              <w:t>对过程质量关键控制点、过程检验、检验报</w:t>
            </w:r>
            <w:r>
              <w:rPr>
                <w:rFonts w:hint="eastAsia" w:ascii="宋体" w:hAnsi="宋体"/>
                <w:szCs w:val="21"/>
              </w:rPr>
              <w:t>告</w:t>
            </w:r>
            <w:r>
              <w:rPr>
                <w:rFonts w:hint="eastAsia"/>
                <w:szCs w:val="21"/>
              </w:rPr>
              <w:t>实施了监控和验证。</w:t>
            </w:r>
            <w:r>
              <w:rPr>
                <w:rFonts w:hint="eastAsia" w:ascii="宋体" w:hAnsi="宋体"/>
                <w:szCs w:val="21"/>
                <w:lang w:val="en-GB"/>
              </w:rPr>
              <w:t>通过编制作业文件、管理制度和相关措施，对产品形成的主要过程实施了有效的控制。</w:t>
            </w:r>
            <w:r>
              <w:rPr>
                <w:rFonts w:hint="eastAsia" w:ascii="宋体" w:hAnsi="宋体"/>
                <w:szCs w:val="21"/>
              </w:rPr>
              <w:t>按照顾客要求和相关的法律法规进行生产，对原材料检验、过程、成品检验等均符合相关规定，提供了来料检验单、产品检验记录、检测报告。经查符合要求</w:t>
            </w:r>
            <w:r>
              <w:rPr>
                <w:rFonts w:hint="eastAsia"/>
                <w:szCs w:val="21"/>
              </w:rPr>
              <w:t>。</w:t>
            </w:r>
          </w:p>
          <w:p>
            <w:pPr>
              <w:spacing w:line="240" w:lineRule="exact"/>
              <w:rPr>
                <w:rFonts w:ascii="宋体" w:hAnsi="宋体"/>
                <w:b/>
                <w:sz w:val="21"/>
                <w:szCs w:val="21"/>
              </w:rPr>
            </w:pPr>
            <w:r>
              <w:rPr>
                <w:rFonts w:hint="eastAsia"/>
                <w:szCs w:val="21"/>
                <w:lang w:val="en-GB"/>
              </w:rPr>
              <w:t>产品销售过程：</w:t>
            </w:r>
            <w:r>
              <w:rPr>
                <w:rFonts w:hint="eastAsia" w:ascii="宋体" w:hAnsi="宋体"/>
                <w:szCs w:val="21"/>
              </w:rPr>
              <w:t>公司主要产品为</w:t>
            </w:r>
            <w:r>
              <w:rPr>
                <w:sz w:val="24"/>
                <w:szCs w:val="24"/>
              </w:rPr>
              <w:t>变压器、电抗器、冷却器、换热器的制造；变压器的修理（需资质许可除外）</w:t>
            </w:r>
            <w:r>
              <w:rPr>
                <w:rFonts w:hint="eastAsia" w:ascii="宋体" w:hAnsi="宋体"/>
                <w:sz w:val="24"/>
                <w:szCs w:val="24"/>
              </w:rPr>
              <w:t>，</w:t>
            </w:r>
            <w:r>
              <w:rPr>
                <w:rFonts w:hint="eastAsia" w:ascii="宋体" w:hAnsi="宋体"/>
                <w:szCs w:val="21"/>
              </w:rPr>
              <w:t>且按照国家、行业相关标准、顾客要求，与产品有关的要求主要体现在标书、合同及相关法律法规及标准中。</w:t>
            </w:r>
            <w:r>
              <w:rPr>
                <w:rFonts w:hint="eastAsia" w:ascii="宋体" w:hAnsi="宋体"/>
                <w:szCs w:val="21"/>
                <w:lang w:val="en-US" w:eastAsia="zh-CN"/>
              </w:rPr>
              <w:t>未组织销售合同（单相干式变压器）的评审，开具了不符合。</w:t>
            </w:r>
            <w:r>
              <w:rPr>
                <w:rFonts w:hint="eastAsia" w:ascii="宋体" w:hAnsi="宋体"/>
                <w:szCs w:val="21"/>
              </w:rPr>
              <w:t>收集顾客对产品的反馈信息，开展顾客满意度调查，包括顾客抱怨和投诉。经查符合要求</w:t>
            </w:r>
            <w:r>
              <w:rPr>
                <w:rFonts w:hint="eastAsia"/>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340" w:lineRule="exact"/>
              <w:rPr>
                <w:rFonts w:ascii="宋体" w:hAnsi="宋体"/>
                <w:b/>
                <w:sz w:val="21"/>
                <w:szCs w:val="21"/>
              </w:rPr>
            </w:pPr>
            <w:r>
              <w:rPr>
                <w:rFonts w:hint="eastAsia" w:ascii="宋体" w:hAnsi="宋体"/>
                <w:szCs w:val="21"/>
              </w:rPr>
              <w:t>主要满足国家、行业标准及客户要求</w:t>
            </w:r>
            <w:r>
              <w:rPr>
                <w:rFonts w:hint="eastAsia" w:ascii="宋体" w:hAnsi="宋体"/>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Pr>
                <w:rFonts w:hint="eastAsia"/>
              </w:rPr>
              <w:t>提供了《</w:t>
            </w:r>
            <w:r>
              <w:rPr>
                <w:rFonts w:hint="eastAsia" w:ascii="宋体" w:hAnsi="宋体"/>
                <w:szCs w:val="21"/>
              </w:rPr>
              <w:t>不合格品处置记录</w:t>
            </w:r>
            <w:r>
              <w:rPr>
                <w:rFonts w:hint="eastAsia"/>
              </w:rPr>
              <w:t>》</w:t>
            </w:r>
            <w:r>
              <w:rPr>
                <w:rFonts w:hint="eastAsia" w:ascii="宋体" w:hAnsi="宋体"/>
                <w:szCs w:val="21"/>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ascii="宋体" w:hAnsi="宋体"/>
                <w:b/>
                <w:sz w:val="21"/>
                <w:szCs w:val="21"/>
              </w:rPr>
            </w:pPr>
            <w:r>
              <w:rPr>
                <w:rFonts w:hint="eastAsia"/>
                <w:szCs w:val="21"/>
                <w:lang w:val="en-GB"/>
              </w:rPr>
              <w:t>编制</w:t>
            </w:r>
            <w:r>
              <w:rPr>
                <w:rFonts w:hint="eastAsia"/>
                <w:szCs w:val="21"/>
              </w:rPr>
              <w:t>《危险源识别评价与控制程序》</w:t>
            </w:r>
            <w:r>
              <w:rPr>
                <w:rFonts w:hint="eastAsia"/>
                <w:szCs w:val="21"/>
                <w:lang w:val="en-GB"/>
              </w:rPr>
              <w:t>《运行控制程序》《</w:t>
            </w:r>
            <w:r>
              <w:rPr>
                <w:rFonts w:hint="eastAsia"/>
                <w:szCs w:val="21"/>
              </w:rPr>
              <w:t>消防控制程序》《劳动防护用品控制程序》《安全教育制度》</w:t>
            </w:r>
            <w:r>
              <w:rPr>
                <w:rFonts w:hint="eastAsia"/>
                <w:szCs w:val="21"/>
                <w:lang w:val="en-GB"/>
              </w:rPr>
              <w:t>《对相关方施加影响控制程序》《安全</w:t>
            </w:r>
            <w:r>
              <w:rPr>
                <w:rFonts w:hint="eastAsia"/>
                <w:szCs w:val="21"/>
              </w:rPr>
              <w:t>生产</w:t>
            </w:r>
            <w:r>
              <w:rPr>
                <w:rFonts w:hint="eastAsia"/>
                <w:szCs w:val="21"/>
                <w:lang w:val="en-GB"/>
              </w:rPr>
              <w:t>管理制度》等，针对各部门所负责的工作，对危险源进行控制</w:t>
            </w:r>
            <w:r>
              <w:rPr>
                <w:rFonts w:hint="eastAsia"/>
                <w:szCs w:val="21"/>
              </w:rPr>
              <w:t>涉及有火灾、触电、机械伤害、噪声伤害、废气伤害、相关方施加影响等进行控制，具体措施有对员工进行安全教育，发放劳保用品，对相关方进行告知，现场查看办公区域、生产车间干净整洁，工人佩戴有防护用品</w:t>
            </w:r>
            <w:r>
              <w:rPr>
                <w:rFonts w:hint="eastAsia"/>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Cs/>
                <w:szCs w:val="21"/>
              </w:rPr>
              <w:t>编制应急准备和响应控制程序，识别的潜在意外紧急情况为火灾、触电等。编制了应急预案—包括火灾、触电、机械伤害应急预案，经查问</w:t>
            </w:r>
            <w:r>
              <w:rPr>
                <w:rFonts w:hint="eastAsia" w:ascii="宋体" w:hAnsi="宋体"/>
                <w:bCs/>
                <w:szCs w:val="21"/>
                <w:lang w:val="en-US" w:eastAsia="zh-CN"/>
              </w:rPr>
              <w:t>行政部</w:t>
            </w:r>
            <w:r>
              <w:rPr>
                <w:rFonts w:hint="eastAsia" w:ascii="宋体" w:hAnsi="宋体"/>
                <w:bCs/>
                <w:szCs w:val="21"/>
              </w:rPr>
              <w:t>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sz w:val="21"/>
                <w:szCs w:val="21"/>
              </w:rPr>
              <w:t>车间共安装桥门式起重机4台，均具有嘉兴市特种设备检验检测院出具的检验报告</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szCs w:val="21"/>
              </w:rPr>
              <w:t>提供了文件化可分解的目标、指标，经查问分解到各部门，经查阅建立的管理目标符合标准要求，在方针的框架下展开，每季度考核一次，查看201</w:t>
            </w:r>
            <w:r>
              <w:rPr>
                <w:rFonts w:hint="eastAsia"/>
                <w:szCs w:val="21"/>
                <w:lang w:val="en-US" w:eastAsia="zh-CN"/>
              </w:rPr>
              <w:t>21</w:t>
            </w:r>
            <w:r>
              <w:rPr>
                <w:rFonts w:hint="eastAsia"/>
                <w:szCs w:val="21"/>
              </w:rPr>
              <w:t>年</w:t>
            </w:r>
            <w:r>
              <w:rPr>
                <w:rFonts w:hint="eastAsia"/>
                <w:szCs w:val="21"/>
                <w:lang w:val="en-US" w:eastAsia="zh-CN"/>
              </w:rPr>
              <w:t>1季度</w:t>
            </w:r>
            <w:r>
              <w:rPr>
                <w:rFonts w:hint="eastAsia"/>
                <w:szCs w:val="21"/>
              </w:rPr>
              <w:t>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ascii="宋体" w:hAnsi="宋体"/>
                <w:b/>
                <w:sz w:val="21"/>
                <w:szCs w:val="21"/>
              </w:rPr>
            </w:pPr>
            <w:r>
              <w:rPr>
                <w:rFonts w:hint="eastAsia"/>
                <w:szCs w:val="21"/>
                <w:lang w:val="zh-CN"/>
              </w:rPr>
              <w:t>公司通过电话，走访等形式，接受顾客反馈，了解顾客顾客满意度信息，发放调查表对顾客满意度进行定量测量。提供“顾客满意程度调查表”，调查主要内容：</w:t>
            </w:r>
            <w:r>
              <w:rPr>
                <w:rFonts w:hint="eastAsia"/>
                <w:szCs w:val="21"/>
              </w:rPr>
              <w:t>质量、价格、服务等方面的满意程度</w:t>
            </w:r>
            <w:r>
              <w:rPr>
                <w:rFonts w:hint="eastAsia"/>
                <w:szCs w:val="21"/>
                <w:lang w:val="zh-CN"/>
              </w:rPr>
              <w:t>等，</w:t>
            </w:r>
            <w:r>
              <w:rPr>
                <w:rFonts w:hint="eastAsia"/>
                <w:szCs w:val="21"/>
              </w:rPr>
              <w:t>各项得分求平均值得最终结果</w:t>
            </w:r>
            <w:r>
              <w:rPr>
                <w:rFonts w:hint="eastAsia"/>
                <w:szCs w:val="21"/>
                <w:lang w:val="zh-CN"/>
              </w:rPr>
              <w:t>。</w:t>
            </w:r>
            <w:r>
              <w:rPr>
                <w:rFonts w:hint="eastAsia"/>
                <w:szCs w:val="21"/>
              </w:rPr>
              <w:t>提供顾客满意调查分析。最终顾客满意率99%。该结果已提交管理评审。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szCs w:val="21"/>
              </w:rPr>
              <w:t>按照策划的安排于</w:t>
            </w:r>
            <w:r>
              <w:t>20</w:t>
            </w:r>
            <w:r>
              <w:rPr>
                <w:rFonts w:hint="eastAsia"/>
                <w:lang w:val="en-US" w:eastAsia="zh-CN"/>
              </w:rPr>
              <w:t>21</w:t>
            </w:r>
            <w:r>
              <w:rPr>
                <w:rFonts w:hint="eastAsia"/>
              </w:rPr>
              <w:t>年</w:t>
            </w:r>
            <w:r>
              <w:rPr>
                <w:rFonts w:hint="eastAsia"/>
                <w:lang w:val="en-US" w:eastAsia="zh-CN"/>
              </w:rPr>
              <w:t>3</w:t>
            </w:r>
            <w:r>
              <w:rPr>
                <w:rFonts w:hint="eastAsia"/>
              </w:rPr>
              <w:t>月15-16日</w:t>
            </w:r>
            <w:r>
              <w:rPr>
                <w:rFonts w:hint="eastAsia"/>
                <w:szCs w:val="21"/>
              </w:rPr>
              <w:t>进行了一次集中式的内部审核，经查阅资料及与管代沟通，内审员没有审核自己的工作，查阅内审记录，符合策划安排，提出</w:t>
            </w:r>
            <w:r>
              <w:rPr>
                <w:rFonts w:hint="eastAsia"/>
                <w:szCs w:val="21"/>
                <w:lang w:val="en-US" w:eastAsia="zh-CN"/>
              </w:rPr>
              <w:t>2</w:t>
            </w:r>
            <w:r>
              <w:rPr>
                <w:rFonts w:hint="eastAsia"/>
                <w:szCs w:val="21"/>
              </w:rPr>
              <w:t>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Cs w:val="21"/>
              </w:rPr>
              <w:t>按照策划的安排于</w:t>
            </w:r>
            <w:r>
              <w:t>20</w:t>
            </w:r>
            <w:r>
              <w:rPr>
                <w:rFonts w:hint="eastAsia"/>
                <w:lang w:val="en-US" w:eastAsia="zh-CN"/>
              </w:rPr>
              <w:t>21</w:t>
            </w:r>
            <w:r>
              <w:rPr>
                <w:rFonts w:hint="eastAsia" w:cs="宋体"/>
              </w:rPr>
              <w:t>年</w:t>
            </w:r>
            <w:r>
              <w:rPr>
                <w:rFonts w:hint="eastAsia"/>
                <w:lang w:val="en-US" w:eastAsia="zh-CN"/>
              </w:rPr>
              <w:t>4</w:t>
            </w:r>
            <w:r>
              <w:rPr>
                <w:rFonts w:hint="eastAsia" w:cs="宋体"/>
              </w:rPr>
              <w:t>月</w:t>
            </w:r>
            <w:r>
              <w:rPr>
                <w:rFonts w:hint="eastAsia"/>
                <w:lang w:val="en-US" w:eastAsia="zh-CN"/>
              </w:rPr>
              <w:t>6</w:t>
            </w:r>
            <w:r>
              <w:rPr>
                <w:rFonts w:hint="eastAsia" w:cs="宋体"/>
              </w:rPr>
              <w:t>日</w:t>
            </w:r>
            <w:r>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bCs/>
                <w:color w:val="000000" w:themeColor="text1"/>
                <w:szCs w:val="21"/>
                <w:lang w:val="en-US" w:eastAsia="zh-CN"/>
              </w:rPr>
              <w:t>提供</w:t>
            </w:r>
            <w:r>
              <w:rPr>
                <w:rFonts w:hint="eastAsia"/>
                <w:bCs/>
                <w:color w:val="000000" w:themeColor="text1"/>
                <w:szCs w:val="21"/>
              </w:rPr>
              <w:t>员工体检</w:t>
            </w:r>
            <w:r>
              <w:rPr>
                <w:rFonts w:hint="eastAsia"/>
                <w:bCs/>
                <w:color w:val="000000" w:themeColor="text1"/>
                <w:szCs w:val="21"/>
                <w:lang w:val="en-US" w:eastAsia="zh-CN"/>
              </w:rPr>
              <w:t>报告</w:t>
            </w:r>
            <w:r>
              <w:rPr>
                <w:rFonts w:hint="eastAsia"/>
                <w:bCs/>
                <w:color w:val="000000" w:themeColor="text1"/>
                <w:szCs w:val="21"/>
              </w:rPr>
              <w:t>。</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Cs w:val="21"/>
              </w:rPr>
              <w:t>对内审提出的不符合进行原因分析，并完成了整改。对管理评审提出的不符合及改进要求，进行原因分析，制定了具体措施，目前正在实施中。纠正措施尚可，预防措施欠缺。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员工体检和测量设备未送检是上次审核开具的不符合，经现场核验，已经完成整改。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4"/>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sz w:val="21"/>
                <w:szCs w:val="21"/>
                <w:u w:val="single"/>
              </w:rPr>
              <w:t>浙江澳华机电制造</w:t>
            </w:r>
            <w:r>
              <w:rPr>
                <w:sz w:val="21"/>
                <w:szCs w:val="21"/>
                <w:u w:val="single"/>
              </w:rPr>
              <w:t>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4"/>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ascii="宋体" w:hAnsi="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4"/>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pPr>
                    <w:pStyle w:val="14"/>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noWrap/>
                </w:tcPr>
                <w:p>
                  <w:pPr>
                    <w:pStyle w:val="14"/>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4"/>
                    <w:spacing w:line="340" w:lineRule="exact"/>
                    <w:jc w:val="both"/>
                    <w:rPr>
                      <w:color w:val="auto"/>
                      <w:kern w:val="2"/>
                      <w:sz w:val="21"/>
                      <w:szCs w:val="21"/>
                      <w:lang w:val="en-GB"/>
                    </w:rPr>
                  </w:pPr>
                  <w:r>
                    <w:rPr>
                      <w:rFonts w:hint="eastAsia" w:cs="宋体"/>
                      <w:color w:val="auto"/>
                      <w:sz w:val="21"/>
                      <w:szCs w:val="21"/>
                    </w:rPr>
                    <w:t>适用要求</w:t>
                  </w:r>
                </w:p>
              </w:tc>
              <w:tc>
                <w:tcPr>
                  <w:tcW w:w="967" w:type="dxa"/>
                  <w:noWrap/>
                </w:tcPr>
                <w:p>
                  <w:pPr>
                    <w:pStyle w:val="14"/>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4"/>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4"/>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noWrap/>
                </w:tcPr>
                <w:p>
                  <w:pPr>
                    <w:pStyle w:val="14"/>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4"/>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4"/>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noWrap/>
                </w:tcPr>
                <w:p>
                  <w:pPr>
                    <w:pStyle w:val="14"/>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4"/>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4"/>
                    <w:spacing w:line="340" w:lineRule="exact"/>
                    <w:jc w:val="both"/>
                    <w:rPr>
                      <w:color w:val="auto"/>
                      <w:kern w:val="2"/>
                      <w:sz w:val="21"/>
                      <w:szCs w:val="21"/>
                      <w:lang w:val="en-GB"/>
                    </w:rPr>
                  </w:pPr>
                  <w:r>
                    <w:rPr>
                      <w:rFonts w:hint="eastAsia" w:cs="宋体"/>
                      <w:color w:val="auto"/>
                      <w:sz w:val="21"/>
                      <w:szCs w:val="21"/>
                    </w:rPr>
                    <w:t>审核目的</w:t>
                  </w:r>
                </w:p>
              </w:tc>
              <w:tc>
                <w:tcPr>
                  <w:tcW w:w="967" w:type="dxa"/>
                  <w:noWrap/>
                </w:tcPr>
                <w:p>
                  <w:pPr>
                    <w:pStyle w:val="14"/>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noWrap/>
                </w:tcPr>
                <w:p>
                  <w:pPr>
                    <w:pStyle w:val="14"/>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4"/>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pPr>
                    <w:pStyle w:val="14"/>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4"/>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1612900</wp:posOffset>
            </wp:positionH>
            <wp:positionV relativeFrom="paragraph">
              <wp:posOffset>232410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1661795</wp:posOffset>
            </wp:positionH>
            <wp:positionV relativeFrom="paragraph">
              <wp:posOffset>104775</wp:posOffset>
            </wp:positionV>
            <wp:extent cx="838835" cy="549910"/>
            <wp:effectExtent l="0" t="0" r="12065" b="8890"/>
            <wp:wrapNone/>
            <wp:docPr id="3" name="图片 3"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a49a556974bf51a9f3203c9cccc1b"/>
                    <pic:cNvPicPr>
                      <a:picLocks noChangeAspect="1"/>
                    </pic:cNvPicPr>
                  </pic:nvPicPr>
                  <pic:blipFill>
                    <a:blip r:embed="rId7"/>
                    <a:stretch>
                      <a:fillRect/>
                    </a:stretch>
                  </pic:blipFill>
                  <pic:spPr>
                    <a:xfrm>
                      <a:off x="0" y="0"/>
                      <a:ext cx="838835" cy="54991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1162050</wp:posOffset>
            </wp:positionH>
            <wp:positionV relativeFrom="paragraph">
              <wp:posOffset>129540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p>
    <w:p>
      <w:pPr>
        <w:tabs>
          <w:tab w:val="left" w:pos="3559"/>
        </w:tabs>
        <w:spacing w:before="163" w:beforeLines="50"/>
        <w:ind w:firstLine="632" w:firstLineChars="300"/>
        <w:rPr>
          <w:rFonts w:hint="default" w:eastAsia="宋体"/>
          <w:b/>
          <w:sz w:val="21"/>
          <w:szCs w:val="21"/>
          <w:lang w:val="en-US" w:eastAsia="zh-CN"/>
        </w:rPr>
      </w:pPr>
      <w:r>
        <w:rPr>
          <w:b/>
          <w:sz w:val="21"/>
          <w:szCs w:val="21"/>
        </w:rPr>
        <w:t>2.</w:t>
      </w:r>
      <w:r>
        <w:rPr>
          <w:rFonts w:hint="eastAsia"/>
          <w:b/>
          <w:sz w:val="21"/>
          <w:szCs w:val="21"/>
        </w:rPr>
        <w:t>验证结论：</w:t>
      </w:r>
      <w:r>
        <w:rPr>
          <w:rFonts w:hint="eastAsia"/>
          <w:b/>
          <w:sz w:val="21"/>
          <w:szCs w:val="21"/>
          <w:lang w:eastAsia="zh-CN"/>
        </w:rPr>
        <w:tab/>
      </w:r>
      <w:r>
        <w:rPr>
          <w:rFonts w:hint="eastAsia"/>
          <w:b/>
          <w:sz w:val="21"/>
          <w:szCs w:val="21"/>
          <w:lang w:val="en-US" w:eastAsia="zh-CN"/>
        </w:rPr>
        <w:t>2021.4.19</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0041C"/>
    <w:multiLevelType w:val="singleLevel"/>
    <w:tmpl w:val="A7A0041C"/>
    <w:lvl w:ilvl="0" w:tentative="0">
      <w:start w:val="8"/>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559510E"/>
    <w:multiLevelType w:val="singleLevel"/>
    <w:tmpl w:val="5559510E"/>
    <w:lvl w:ilvl="0" w:tentative="0">
      <w:start w:val="2"/>
      <w:numFmt w:val="decimal"/>
      <w:suff w:val="nothing"/>
      <w:lvlText w:val="%1、"/>
      <w:lvlJc w:val="left"/>
    </w:lvl>
  </w:abstractNum>
  <w:abstractNum w:abstractNumId="3">
    <w:nsid w:val="71B3D264"/>
    <w:multiLevelType w:val="singleLevel"/>
    <w:tmpl w:val="71B3D264"/>
    <w:lvl w:ilvl="0" w:tentative="0">
      <w:start w:val="2"/>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148F6"/>
    <w:rsid w:val="0D1000DD"/>
    <w:rsid w:val="1CDD4569"/>
    <w:rsid w:val="3ACD7AAB"/>
    <w:rsid w:val="7B2F55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2021-04-21T01:04:10Z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2FAE3D6C0EB2432ABC6F5987CF136891</vt:lpwstr>
  </property>
</Properties>
</file>