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hint="eastAsia" w:ascii="宋体" w:hAnsi="宋体"/>
          <w:szCs w:val="21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-778510</wp:posOffset>
            </wp:positionH>
            <wp:positionV relativeFrom="paragraph">
              <wp:posOffset>-950595</wp:posOffset>
            </wp:positionV>
            <wp:extent cx="7449820" cy="10586085"/>
            <wp:effectExtent l="0" t="0" r="5080" b="5715"/>
            <wp:wrapNone/>
            <wp:docPr id="2" name="图片 2" descr="扫描全能王 2021-05-12 10.22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5-12 10.22_9"/>
                    <pic:cNvPicPr>
                      <a:picLocks noChangeAspect="1"/>
                    </pic:cNvPicPr>
                  </pic:nvPicPr>
                  <pic:blipFill>
                    <a:blip r:embed="rId5"/>
                    <a:srcRect r="760" b="864"/>
                    <a:stretch>
                      <a:fillRect/>
                    </a:stretch>
                  </pic:blipFill>
                  <pic:spPr>
                    <a:xfrm>
                      <a:off x="0" y="0"/>
                      <a:ext cx="7449820" cy="10586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0083-2020-2021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芜湖市金贸流体科技股份有限公司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生产部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高峰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0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查 编号ZLJL.606.02表面粗糙度比较样块确认记录显示“确认依据、规定及技术文件中相应指标：无”，没有规定表面粗糙度比较样块的计量要求，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>GB/T19022标准条款7.1.1要求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t>___；次要不符合__</w:t>
            </w:r>
            <w:r>
              <w:rPr>
                <w:rFonts w:hint="default" w:ascii="Arial" w:hAnsi="Arial" w:cs="Arial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6062" w:firstLineChars="28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2021.5.12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生产部部负责确定该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表面粗糙度比较样块的计量要求并完善计量确认记录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李俐   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  <w:bookmarkStart w:id="2" w:name="_GoBack"/>
      <w:bookmarkEnd w:id="2"/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0554DA"/>
    <w:rsid w:val="652940D4"/>
    <w:rsid w:val="66866A7A"/>
    <w:rsid w:val="72FA74F5"/>
    <w:rsid w:val="793940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4</TotalTime>
  <ScaleCrop>false</ScaleCrop>
  <LinksUpToDate>false</LinksUpToDate>
  <CharactersWithSpaces>304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2021-05-12T02:54:46Z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7C4FAE60E6EF499CB5C6CCC82F5A6917</vt:lpwstr>
  </property>
</Properties>
</file>