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天津贵和鸿兴钢结构工程有限公司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FC6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2021-04-22T02:05:03Z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81AF159F161F42CC9CEC4FA3A4D41734</vt:lpwstr>
  </property>
</Properties>
</file>