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"/>
      <w:bookmarkStart w:id="1" w:name="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天津贵和鸿兴钢结构工程有限公司</w:t>
            </w:r>
            <w:bookmarkEnd w:id="4"/>
          </w:p>
        </w:tc>
        <w:tc>
          <w:tcPr>
            <w:tcW w:w="172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E：17.06.01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李京田</w:t>
            </w: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E：17.06.01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O：17.06.01</w:t>
            </w: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李雅静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生产工艺：</w:t>
            </w:r>
          </w:p>
          <w:p>
            <w:pPr>
              <w:snapToGrid w:val="0"/>
              <w:spacing w:line="280" w:lineRule="exac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原材料-剪切（噪声、固废）-去毛刺（噪声、固废）-钻孔（噪声、固废）-焊接组装（噪声、固废）-去毛刺（噪声、固废）-检验（固废）-除锈（噪声、固废）-入库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  <w:bookmarkStart w:id="6" w:name="_GoBack"/>
            <w:bookmarkEnd w:id="6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 xml:space="preserve">生产任务未按时完成，设备故障，工人操作不当，控制措施：生产和服务控制程序、设备操作规程、作业指导书；特殊过程为焊接过程 </w:t>
            </w:r>
            <w:r>
              <w:rPr>
                <w:rFonts w:hint="eastAsia"/>
                <w:szCs w:val="21"/>
                <w:lang w:eastAsia="zh-CN"/>
              </w:rPr>
              <w:t>电焊为特殊工序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，是否从人员、设备、工艺等方面进行了确认。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sz w:val="21"/>
                <w:szCs w:val="21"/>
              </w:rPr>
              <w:t>废气的排放、固体废弃物排放、噪声排放、火灾的发生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废水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 w:cs="宋体"/>
                <w:sz w:val="21"/>
                <w:szCs w:val="21"/>
              </w:rPr>
              <w:t>环境因素的识别与评价控制程序</w:t>
            </w:r>
            <w:r>
              <w:rPr>
                <w:rFonts w:hint="eastAsia" w:cs="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环境与职业健康安全运行控制程序、应急准备和响应控制程序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潜在火灾、触电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val="en-US" w:eastAsia="zh-CN"/>
              </w:rPr>
              <w:t>机械伤害、物体打击、意外伤害</w:t>
            </w:r>
            <w:r>
              <w:rPr>
                <w:rFonts w:hint="eastAsia" w:ascii="Times New Roman" w:hAnsi="Times New Roman" w:cs="Times New Roman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控制措施：</w:t>
            </w:r>
            <w:r>
              <w:rPr>
                <w:rFonts w:hint="eastAsia"/>
                <w:sz w:val="21"/>
                <w:szCs w:val="21"/>
              </w:rPr>
              <w:t>危险源辨识、风险评价控制程序</w:t>
            </w:r>
            <w:r>
              <w:rPr>
                <w:rFonts w:hint="eastAsia"/>
                <w:sz w:val="21"/>
                <w:szCs w:val="21"/>
                <w:lang w:eastAsia="zh-CN"/>
              </w:rPr>
              <w:t>、</w:t>
            </w:r>
            <w:r>
              <w:rPr>
                <w:rFonts w:hint="eastAsia"/>
                <w:b w:val="0"/>
                <w:bCs/>
                <w:sz w:val="21"/>
                <w:szCs w:val="21"/>
                <w:lang w:val="en-US" w:eastAsia="zh-CN"/>
              </w:rPr>
              <w:t>环境和职业健康安全运行控制程序、应急准备和响应控制程序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GB/T12467.1-1998 焊接质量要求，金属材料的熔化焊 GB/T12467.2-1998 焊接质量要求，金属材料的熔化焊 GB/T12467.3-1998 焊接质量要求，金属材料的熔化焊 GB/T12467.4-1998 焊接质量要求，金属材料的熔化焊 JB/T3223-1996 焊接材料质量管理规程 JB/T3713.2-1997 双圆盘抛丸器 JB/T7459.1-1999 单钩抛丸清理机 JB/T5359-91 滚筒抛丸清理机 JB/T5360-91 履带式抛丸清理机 JB/T5000.1～13-99 重型机械通用技术条件 剪切机械安全规程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2021.4.22</w:t>
      </w:r>
      <w:r>
        <w:rPr>
          <w:rFonts w:hint="eastAsia"/>
          <w:b/>
          <w:sz w:val="18"/>
          <w:szCs w:val="18"/>
        </w:rPr>
        <w:t xml:space="preserve">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 xml:space="preserve">：  </w:t>
      </w:r>
      <w:r>
        <w:rPr>
          <w:rFonts w:hint="eastAsia"/>
          <w:b/>
          <w:sz w:val="18"/>
          <w:szCs w:val="18"/>
          <w:lang w:val="en-US" w:eastAsia="zh-CN"/>
        </w:rPr>
        <w:t>2021.4.22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7216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HorizontalSpacing w:val="108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B8D4E2A"/>
    <w:rsid w:val="1BE478C6"/>
    <w:rsid w:val="31DA3499"/>
    <w:rsid w:val="53767035"/>
    <w:rsid w:val="676418F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1</TotalTime>
  <ScaleCrop>false</ScaleCrop>
  <LinksUpToDate>false</LinksUpToDate>
  <CharactersWithSpaces>314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2021-04-21T14:47:02Z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7404C15F34394542851097A4F6E0EDFE</vt:lpwstr>
  </property>
</Properties>
</file>