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t>管理体系审核记录表</w:t>
      </w:r>
    </w:p>
    <w:p>
      <w:pPr>
        <w:spacing w:line="480" w:lineRule="exact"/>
        <w:jc w:val="center"/>
        <w:rPr>
          <w:rFonts w:hint="eastAsia" w:ascii="隶书" w:hAnsi="宋体" w:eastAsia="宋体"/>
          <w:bCs/>
          <w:color w:val="000000"/>
          <w:sz w:val="36"/>
          <w:szCs w:val="36"/>
          <w:lang w:eastAsia="zh-CN"/>
        </w:rPr>
      </w:pPr>
      <w:r>
        <w:rPr>
          <w:rFonts w:hint="eastAsia"/>
          <w:sz w:val="24"/>
          <w:szCs w:val="24"/>
        </w:rPr>
        <w:t>受审核部门：管理</w:t>
      </w:r>
      <w:r>
        <w:rPr>
          <w:rFonts w:hint="eastAsia" w:ascii="Times New Roman" w:hAnsi="Times New Roman" w:eastAsia="宋体" w:cs="Times New Roman"/>
          <w:sz w:val="24"/>
          <w:szCs w:val="24"/>
        </w:rPr>
        <w:t>层、总经办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、</w:t>
      </w:r>
      <w:r>
        <w:rPr>
          <w:rFonts w:hint="eastAsia" w:ascii="Times New Roman" w:hAnsi="Times New Roman" w:eastAsia="宋体" w:cs="Times New Roman"/>
          <w:sz w:val="24"/>
          <w:szCs w:val="24"/>
        </w:rPr>
        <w:t>生产部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、</w:t>
      </w:r>
      <w:r>
        <w:rPr>
          <w:rFonts w:hint="eastAsia" w:ascii="Times New Roman" w:hAnsi="Times New Roman" w:eastAsia="宋体" w:cs="Times New Roman"/>
          <w:sz w:val="24"/>
          <w:szCs w:val="24"/>
        </w:rPr>
        <w:t>市场部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，</w:t>
      </w:r>
      <w:r>
        <w:rPr>
          <w:rFonts w:hint="eastAsia" w:ascii="Times New Roman" w:hAnsi="Times New Roman" w:eastAsia="宋体" w:cs="Times New Roman"/>
          <w:sz w:val="24"/>
          <w:szCs w:val="24"/>
        </w:rPr>
        <w:t>陪</w:t>
      </w:r>
      <w:r>
        <w:rPr>
          <w:rFonts w:hint="eastAsia"/>
          <w:sz w:val="24"/>
          <w:szCs w:val="24"/>
        </w:rPr>
        <w:t>同人员：</w:t>
      </w:r>
      <w:r>
        <w:rPr>
          <w:rFonts w:hint="eastAsia"/>
          <w:sz w:val="24"/>
          <w:szCs w:val="24"/>
          <w:lang w:eastAsia="zh-CN"/>
        </w:rPr>
        <w:t>陈小玲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eastAsia"/>
          <w:sz w:val="24"/>
          <w:szCs w:val="24"/>
        </w:rPr>
        <w:t>审核员：</w:t>
      </w:r>
      <w:r>
        <w:rPr>
          <w:rFonts w:hint="eastAsia"/>
          <w:sz w:val="24"/>
          <w:szCs w:val="24"/>
          <w:lang w:eastAsia="zh-CN"/>
        </w:rPr>
        <w:t>宋明珠，</w:t>
      </w:r>
      <w:r>
        <w:rPr>
          <w:rFonts w:hint="eastAsia"/>
          <w:sz w:val="24"/>
          <w:szCs w:val="24"/>
        </w:rPr>
        <w:t>审核时间：</w:t>
      </w:r>
      <w:r>
        <w:rPr>
          <w:rFonts w:hint="eastAsia"/>
          <w:sz w:val="24"/>
          <w:szCs w:val="24"/>
          <w:lang w:eastAsia="zh-CN"/>
        </w:rPr>
        <w:t>202</w:t>
      </w:r>
      <w:r>
        <w:rPr>
          <w:rFonts w:hint="eastAsia"/>
          <w:sz w:val="24"/>
          <w:szCs w:val="24"/>
          <w:lang w:val="en-US" w:eastAsia="zh-CN"/>
        </w:rPr>
        <w:t>1</w:t>
      </w:r>
      <w:r>
        <w:rPr>
          <w:rFonts w:hint="eastAsia"/>
          <w:sz w:val="24"/>
          <w:szCs w:val="24"/>
          <w:lang w:eastAsia="zh-CN"/>
        </w:rPr>
        <w:t>年</w:t>
      </w:r>
      <w:r>
        <w:rPr>
          <w:rFonts w:hint="eastAsia"/>
          <w:sz w:val="24"/>
          <w:szCs w:val="24"/>
          <w:lang w:val="en-US" w:eastAsia="zh-CN"/>
        </w:rPr>
        <w:t>4</w:t>
      </w:r>
      <w:r>
        <w:rPr>
          <w:rFonts w:hint="eastAsia"/>
          <w:sz w:val="24"/>
          <w:szCs w:val="24"/>
          <w:lang w:eastAsia="zh-CN"/>
        </w:rPr>
        <w:t>月</w:t>
      </w:r>
      <w:r>
        <w:rPr>
          <w:rFonts w:hint="eastAsia"/>
          <w:sz w:val="24"/>
          <w:szCs w:val="24"/>
          <w:lang w:val="en-US" w:eastAsia="zh-CN"/>
        </w:rPr>
        <w:t>19</w:t>
      </w:r>
      <w:r>
        <w:rPr>
          <w:rFonts w:hint="eastAsia"/>
          <w:sz w:val="24"/>
          <w:szCs w:val="24"/>
          <w:lang w:eastAsia="zh-CN"/>
        </w:rPr>
        <w:t>日</w:t>
      </w:r>
    </w:p>
    <w:tbl>
      <w:tblPr>
        <w:tblStyle w:val="7"/>
        <w:tblW w:w="15129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87"/>
        <w:gridCol w:w="9749"/>
        <w:gridCol w:w="893"/>
        <w:gridCol w:w="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tblHeader/>
        </w:trPr>
        <w:tc>
          <w:tcPr>
            <w:tcW w:w="3687" w:type="dxa"/>
            <w:shd w:val="clear" w:color="auto" w:fill="E6E6E6"/>
            <w:noWrap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审核员</w:t>
            </w:r>
          </w:p>
        </w:tc>
        <w:tc>
          <w:tcPr>
            <w:tcW w:w="9749" w:type="dxa"/>
            <w:shd w:val="clear" w:color="auto" w:fill="E6E6E6"/>
            <w:noWrap/>
            <w:vAlign w:val="center"/>
          </w:tcPr>
          <w:p>
            <w:pPr>
              <w:spacing w:line="0" w:lineRule="atLeast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宋明珠</w:t>
            </w:r>
          </w:p>
        </w:tc>
        <w:tc>
          <w:tcPr>
            <w:tcW w:w="893" w:type="dxa"/>
            <w:shd w:val="clear" w:color="auto" w:fill="E6E6E6"/>
            <w:noWrap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00" w:type="dxa"/>
            <w:shd w:val="clear" w:color="auto" w:fill="E6E6E6"/>
            <w:noWrap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tblHeader/>
        </w:trPr>
        <w:tc>
          <w:tcPr>
            <w:tcW w:w="3687" w:type="dxa"/>
            <w:shd w:val="clear" w:color="auto" w:fill="E6E6E6"/>
            <w:noWrap/>
            <w:vAlign w:val="center"/>
          </w:tcPr>
          <w:p>
            <w:pPr>
              <w:spacing w:line="0" w:lineRule="atLeast"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检  查  表</w:t>
            </w:r>
          </w:p>
        </w:tc>
        <w:tc>
          <w:tcPr>
            <w:tcW w:w="9749" w:type="dxa"/>
            <w:shd w:val="clear" w:color="auto" w:fill="E6E6E6"/>
            <w:noWrap/>
            <w:vAlign w:val="center"/>
          </w:tcPr>
          <w:p>
            <w:pPr>
              <w:spacing w:line="0" w:lineRule="atLeast"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  核   记   录</w:t>
            </w:r>
          </w:p>
        </w:tc>
        <w:tc>
          <w:tcPr>
            <w:tcW w:w="893" w:type="dxa"/>
            <w:shd w:val="clear" w:color="auto" w:fill="E6E6E6"/>
            <w:noWrap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标准号</w:t>
            </w:r>
          </w:p>
          <w:p>
            <w:pPr>
              <w:spacing w:line="0" w:lineRule="atLeast"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条款号</w:t>
            </w:r>
          </w:p>
        </w:tc>
        <w:tc>
          <w:tcPr>
            <w:tcW w:w="800" w:type="dxa"/>
            <w:shd w:val="clear" w:color="auto" w:fill="E6E6E6"/>
            <w:noWrap/>
            <w:vAlign w:val="center"/>
          </w:tcPr>
          <w:p>
            <w:pPr>
              <w:spacing w:line="0" w:lineRule="atLeast"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评估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3687" w:type="dxa"/>
            <w:noWrap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企业简介、组织机构及场所、资质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QMS审核，询问主要设备、原材料、关键过程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管理体系运行时间（3 个月以上）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确认组织实际与管理体系文件化信息描述的一致性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（如部门设置和负责人，生产和服务等过程）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管理体系文件名称</w:t>
            </w:r>
          </w:p>
        </w:tc>
        <w:tc>
          <w:tcPr>
            <w:tcW w:w="9749" w:type="dxa"/>
            <w:noWrap/>
          </w:tcPr>
          <w:p>
            <w:pPr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四川盛博机电设备有限公司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，主要由行业中高技术专业人员组成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  <w:t>，主要</w:t>
            </w:r>
            <w:r>
              <w:rPr>
                <w:rFonts w:hint="eastAsia" w:cs="Times New Roman"/>
                <w:color w:val="000000"/>
                <w:szCs w:val="21"/>
                <w:lang w:val="en-US" w:eastAsia="zh-CN"/>
              </w:rPr>
              <w:t>从事一般机械零件加工</w:t>
            </w:r>
            <w:r>
              <w:rPr>
                <w:rFonts w:hint="eastAsia"/>
                <w:szCs w:val="21"/>
                <w:lang w:val="en-US" w:eastAsia="zh-CN"/>
              </w:rPr>
              <w:t>。主营产品：各种代加工等。现有员工20人，目前经营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情况良好。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该公司目前成立</w:t>
            </w:r>
            <w:r>
              <w:rPr>
                <w:rFonts w:hint="eastAsia" w:ascii="宋体" w:hAnsi="宋体" w:eastAsia="宋体" w:cs="Times New Roman"/>
                <w:szCs w:val="21"/>
              </w:rPr>
              <w:t>了</w:t>
            </w:r>
            <w:r>
              <w:rPr>
                <w:rFonts w:hint="eastAsia" w:ascii="宋体" w:hAnsi="宋体" w:cs="Times New Roman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Times New Roman"/>
                <w:szCs w:val="21"/>
              </w:rPr>
              <w:t>个部门：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lang w:val="en-US" w:eastAsia="zh-CN"/>
              </w:rPr>
              <w:t>总经办、生产部、市场部</w:t>
            </w: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抽查：组织机构图、职能分配表、职责描述，基本保持一致。</w:t>
            </w:r>
          </w:p>
          <w:p>
            <w:pPr>
              <w:pStyle w:val="6"/>
              <w:spacing w:before="0" w:beforeAutospacing="0" w:after="0" w:afterAutospacing="0" w:line="240" w:lineRule="exact"/>
              <w:ind w:firstLine="420" w:firstLineChars="200"/>
              <w:jc w:val="both"/>
              <w:rPr>
                <w:rFonts w:hint="default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经现场审核核实：</w:t>
            </w:r>
            <w:r>
              <w:rPr>
                <w:rFonts w:hint="eastAsia" w:ascii="宋体" w:hAnsi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广汉市小汉镇团结村一组(旌湖苑西南）</w:t>
            </w:r>
            <w:r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，与任务书一致。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经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确认，认证范围为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highlight w:val="none"/>
              </w:rPr>
              <w:t>：</w:t>
            </w:r>
            <w:r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  <w:t>一般机械零件加工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highlight w:val="none"/>
              </w:rPr>
              <w:t>，与申请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范围一致。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经确认，企业人数为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20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人，与申报一致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hint="eastAsia" w:ascii="宋体" w:hAnsi="宋体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1"/>
              </w:rPr>
              <w:t>询问负责人，主要设备为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lang w:val="en-US" w:eastAsia="zh-CN"/>
              </w:rPr>
              <w:t>铣床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lang w:val="en-US" w:eastAsia="zh-CN"/>
              </w:rPr>
              <w:t>钻床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lang w:val="en-US" w:eastAsia="zh-CN"/>
              </w:rPr>
              <w:t>角磨机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</w:rPr>
              <w:t>等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lang w:val="en-US" w:eastAsia="zh-CN"/>
              </w:rPr>
              <w:t>及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</w:rPr>
              <w:t>办公设备，关键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lang w:val="en-US" w:eastAsia="zh-CN"/>
              </w:rPr>
              <w:t>工序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</w:rPr>
              <w:t>：</w:t>
            </w:r>
            <w:r>
              <w:rPr>
                <w:rFonts w:hint="eastAsia" w:ascii="宋体" w:hAnsi="宋体" w:cs="Times New Roman"/>
                <w:color w:val="auto"/>
                <w:szCs w:val="21"/>
                <w:lang w:val="en-US" w:eastAsia="zh-CN"/>
              </w:rPr>
              <w:t>精铣加工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highlight w:val="none"/>
              </w:rPr>
              <w:t>。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highlight w:val="none"/>
                <w:lang w:val="en-US" w:eastAsia="zh-CN"/>
              </w:rPr>
              <w:t>特殊过程</w:t>
            </w:r>
            <w:r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  <w:t>：无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highlight w:val="none"/>
                <w:lang w:val="en-US" w:eastAsia="zh-CN"/>
              </w:rPr>
              <w:t>。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highlight w:val="none"/>
              </w:rPr>
              <w:t>体系运行时间：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highlight w:val="none"/>
                <w:lang w:eastAsia="zh-CN"/>
              </w:rPr>
              <w:t>2020年</w:t>
            </w:r>
            <w:r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highlight w:val="none"/>
                <w:lang w:eastAsia="zh-CN"/>
              </w:rPr>
              <w:t>月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highlight w:val="none"/>
                <w:lang w:val="en-US" w:eastAsia="zh-CN"/>
              </w:rPr>
              <w:t>26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highlight w:val="none"/>
                <w:lang w:eastAsia="zh-CN"/>
              </w:rPr>
              <w:t>日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highlight w:val="none"/>
              </w:rPr>
              <w:t>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hint="eastAsia" w:ascii="宋体" w:hAnsi="宋体" w:eastAsia="宋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1"/>
                <w:lang w:val="en-US" w:eastAsia="zh-CN"/>
              </w:rPr>
              <w:t>组织实际与管理体系文件化信息描述基本一致。有管理层、总经办、生产部、市场部。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hint="eastAsia" w:ascii="宋体" w:hAnsi="宋体" w:eastAsia="宋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1"/>
                <w:lang w:val="en-US" w:eastAsia="zh-CN"/>
              </w:rPr>
              <w:t>产品流程见《工艺流程》</w:t>
            </w:r>
          </w:p>
          <w:p>
            <w:pPr>
              <w:spacing w:line="400" w:lineRule="exact"/>
              <w:ind w:firstLine="420" w:firstLineChars="200"/>
              <w:jc w:val="left"/>
              <w:rPr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查，管理体系文件名称：质量手册，程序文件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10</w:t>
            </w:r>
            <w:r>
              <w:rPr>
                <w:rFonts w:hint="eastAsia"/>
                <w:color w:val="auto"/>
                <w:szCs w:val="21"/>
              </w:rPr>
              <w:t>个。</w:t>
            </w:r>
          </w:p>
        </w:tc>
        <w:tc>
          <w:tcPr>
            <w:tcW w:w="893" w:type="dxa"/>
            <w:noWrap/>
            <w:vAlign w:val="top"/>
          </w:tcPr>
          <w:p>
            <w:pPr>
              <w:adjustRightInd w:val="0"/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Q:</w:t>
            </w:r>
            <w:r>
              <w:rPr>
                <w:rFonts w:hint="eastAsia" w:ascii="宋体" w:hAnsi="宋体" w:cs="宋体"/>
                <w:szCs w:val="21"/>
              </w:rPr>
              <w:t>4.1;4.2;4.3;4.4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800" w:type="dxa"/>
            <w:noWrap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符合</w:t>
            </w: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2" w:hRule="atLeast"/>
        </w:trPr>
        <w:tc>
          <w:tcPr>
            <w:tcW w:w="3687" w:type="dxa"/>
            <w:noWrap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相关法规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执行的产品标准（QMS）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产品质量监督抽查情况（QMS）</w:t>
            </w:r>
          </w:p>
        </w:tc>
        <w:tc>
          <w:tcPr>
            <w:tcW w:w="9749" w:type="dxa"/>
            <w:noWrap/>
          </w:tcPr>
          <w:p>
            <w:pPr>
              <w:spacing w:line="400" w:lineRule="exact"/>
              <w:rPr>
                <w:rFonts w:hint="eastAsia" w:ascii="宋体" w:hAnsi="宋体" w:eastAsia="宋体" w:cs="Times New Roman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中华人民共和国合同法、中</w:t>
            </w:r>
            <w:r>
              <w:rPr>
                <w:rFonts w:hint="eastAsia" w:ascii="宋体" w:hAnsi="宋体" w:eastAsia="宋体" w:cs="Times New Roman"/>
                <w:szCs w:val="21"/>
              </w:rPr>
              <w:t>华人民共和国劳动法、中华人民共和国安全消防法、中华人民共和国产品质量法、中华人民共和国消费者权益法等</w:t>
            </w: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szCs w:val="21"/>
              </w:rPr>
              <w:t>中华人民共和国安全生产法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hint="eastAsia" w:ascii="宋体" w:hAnsi="宋体" w:eastAsia="宋体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Times New Roman"/>
                <w:szCs w:val="21"/>
                <w:lang w:val="en-US" w:eastAsia="zh-CN"/>
              </w:rPr>
              <w:t>普通机械</w:t>
            </w: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加工</w:t>
            </w: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工艺装备基本术语GB/T 1008-2008</w:t>
            </w:r>
            <w:r>
              <w:rPr>
                <w:rFonts w:hint="eastAsia" w:ascii="宋体" w:hAnsi="宋体" w:eastAsia="宋体" w:cs="Times New Roman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cs="Times New Roman"/>
                <w:szCs w:val="21"/>
                <w:highlight w:val="none"/>
                <w:lang w:val="en-US" w:eastAsia="zh-CN"/>
              </w:rPr>
              <w:t>普通机械</w:t>
            </w:r>
            <w:r>
              <w:rPr>
                <w:rFonts w:hint="eastAsia" w:ascii="宋体" w:hAnsi="宋体" w:eastAsia="宋体" w:cs="Times New Roman"/>
                <w:szCs w:val="21"/>
                <w:highlight w:val="none"/>
                <w:lang w:eastAsia="zh-CN"/>
              </w:rPr>
              <w:t>加工</w:t>
            </w: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定位、夹紧符号JB/T 5061-2006</w:t>
            </w:r>
            <w:r>
              <w:rPr>
                <w:rFonts w:hint="eastAsia" w:ascii="宋体" w:hAnsi="宋体" w:eastAsia="宋体" w:cs="Times New Roman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械加工工艺守则JB/T 9168-2006</w:t>
            </w:r>
            <w:r>
              <w:rPr>
                <w:rFonts w:hint="eastAsia" w:ascii="宋体" w:hAnsi="宋体" w:eastAsia="宋体" w:cs="Times New Roman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 xml:space="preserve">技术产品文件 </w:t>
            </w:r>
            <w:r>
              <w:rPr>
                <w:rFonts w:hint="eastAsia" w:ascii="宋体" w:hAnsi="宋体" w:cs="Times New Roman"/>
                <w:szCs w:val="21"/>
                <w:highlight w:val="none"/>
                <w:lang w:val="en-US" w:eastAsia="zh-CN"/>
              </w:rPr>
              <w:t>普通机械</w:t>
            </w:r>
            <w:r>
              <w:rPr>
                <w:rFonts w:hint="eastAsia" w:ascii="宋体" w:hAnsi="宋体" w:eastAsia="宋体" w:cs="Times New Roman"/>
                <w:szCs w:val="21"/>
                <w:highlight w:val="none"/>
                <w:lang w:eastAsia="zh-CN"/>
              </w:rPr>
              <w:t>加工</w:t>
            </w: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定位、夹紧符号表示法GB/T 24740-2009</w:t>
            </w:r>
            <w:r>
              <w:rPr>
                <w:rFonts w:hint="eastAsia" w:ascii="宋体" w:hAnsi="宋体" w:eastAsia="宋体" w:cs="Times New Roman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金属切削机床 术语GB/T 6477-2008</w:t>
            </w:r>
            <w:r>
              <w:rPr>
                <w:rFonts w:hint="eastAsia" w:ascii="宋体" w:hAnsi="宋体" w:eastAsia="宋体" w:cs="Times New Roman"/>
                <w:szCs w:val="21"/>
                <w:highlight w:val="none"/>
                <w:lang w:val="en-US" w:eastAsia="zh-CN"/>
              </w:rPr>
              <w:t>、</w:t>
            </w: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倒圆半径和倒角高度尺寸的极限偏差数值GB/T1804-2000</w:t>
            </w:r>
            <w:r>
              <w:rPr>
                <w:rFonts w:hint="eastAsia" w:ascii="宋体" w:hAnsi="宋体" w:eastAsia="宋体" w:cs="Times New Roman"/>
                <w:szCs w:val="21"/>
                <w:highlight w:val="none"/>
                <w:lang w:val="en-US" w:eastAsia="zh-CN"/>
              </w:rPr>
              <w:t>、</w:t>
            </w: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角度尺寸的极限偏差数值GB/T1804-2000</w:t>
            </w:r>
            <w:r>
              <w:rPr>
                <w:rFonts w:hint="eastAsia" w:ascii="宋体" w:hAnsi="宋体" w:eastAsia="宋体" w:cs="Times New Roman"/>
                <w:szCs w:val="21"/>
                <w:highlight w:val="none"/>
                <w:lang w:val="en-US" w:eastAsia="zh-CN"/>
              </w:rPr>
              <w:t>等</w:t>
            </w:r>
          </w:p>
          <w:p>
            <w:pPr>
              <w:spacing w:line="400" w:lineRule="exact"/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</w:rPr>
              <w:t>无</w:t>
            </w:r>
          </w:p>
        </w:tc>
        <w:tc>
          <w:tcPr>
            <w:tcW w:w="893" w:type="dxa"/>
            <w:noWrap/>
            <w:vAlign w:val="top"/>
          </w:tcPr>
          <w:p>
            <w:pPr>
              <w:adjustRightInd w:val="0"/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Q:6.1.3、9.1.2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both"/>
              <w:rPr>
                <w:rFonts w:ascii="宋体" w:hAnsi="宋体"/>
                <w:szCs w:val="21"/>
              </w:rPr>
            </w:pPr>
          </w:p>
        </w:tc>
        <w:tc>
          <w:tcPr>
            <w:tcW w:w="800" w:type="dxa"/>
            <w:noWrap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符合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9" w:hRule="atLeast"/>
        </w:trPr>
        <w:tc>
          <w:tcPr>
            <w:tcW w:w="3687" w:type="dxa"/>
            <w:noWrap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生产工艺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不适用条款的确认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外包的识别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质量目标（QMS）</w:t>
            </w:r>
          </w:p>
        </w:tc>
        <w:tc>
          <w:tcPr>
            <w:tcW w:w="9749" w:type="dxa"/>
            <w:noWrap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产品流程</w:t>
            </w:r>
          </w:p>
          <w:p>
            <w:pPr>
              <w:adjustRightInd w:val="0"/>
              <w:snapToGrid w:val="0"/>
              <w:spacing w:line="400" w:lineRule="exact"/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</w:pPr>
            <w:bookmarkStart w:id="0" w:name="_GoBack"/>
            <w:r>
              <w:rPr>
                <w:rFonts w:hint="eastAsia" w:ascii="宋体" w:hAnsi="宋体" w:eastAsia="宋体" w:cs="Times New Roman"/>
                <w:sz w:val="21"/>
                <w:szCs w:val="21"/>
                <w:highlight w:val="none"/>
                <w:lang w:val="en-US" w:eastAsia="zh-CN"/>
              </w:rPr>
              <w:t>来料---</w:t>
            </w:r>
            <w:r>
              <w:rPr>
                <w:rFonts w:hint="eastAsia" w:ascii="宋体" w:hAnsi="宋体" w:cs="Times New Roman"/>
                <w:sz w:val="21"/>
                <w:szCs w:val="21"/>
                <w:highlight w:val="none"/>
                <w:lang w:val="en-US" w:eastAsia="zh-CN"/>
              </w:rPr>
              <w:t>粗铣加工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highlight w:val="none"/>
                <w:lang w:val="en-US" w:eastAsia="zh-CN"/>
              </w:rPr>
              <w:t>---精</w:t>
            </w:r>
            <w:r>
              <w:rPr>
                <w:rFonts w:hint="eastAsia" w:ascii="宋体" w:hAnsi="宋体" w:cs="Times New Roman"/>
                <w:sz w:val="21"/>
                <w:szCs w:val="21"/>
                <w:highlight w:val="none"/>
                <w:lang w:val="en-US" w:eastAsia="zh-CN"/>
              </w:rPr>
              <w:t>铣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highlight w:val="none"/>
                <w:lang w:val="en-US" w:eastAsia="zh-CN"/>
              </w:rPr>
              <w:t>加工---</w:t>
            </w:r>
            <w:r>
              <w:rPr>
                <w:rFonts w:hint="eastAsia" w:ascii="宋体" w:hAnsi="宋体" w:cs="Times New Roman"/>
                <w:sz w:val="21"/>
                <w:szCs w:val="21"/>
                <w:highlight w:val="none"/>
                <w:lang w:val="en-US" w:eastAsia="zh-CN"/>
              </w:rPr>
              <w:t>扩孔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highlight w:val="none"/>
                <w:lang w:val="en-US" w:eastAsia="zh-CN"/>
              </w:rPr>
              <w:t>——</w:t>
            </w:r>
            <w:r>
              <w:rPr>
                <w:rFonts w:hint="eastAsia" w:ascii="宋体" w:hAnsi="宋体" w:cs="Times New Roman"/>
                <w:sz w:val="21"/>
                <w:szCs w:val="21"/>
                <w:highlight w:val="none"/>
                <w:lang w:val="en-US" w:eastAsia="zh-CN"/>
              </w:rPr>
              <w:t>攻丝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highlight w:val="none"/>
                <w:lang w:val="en-US" w:eastAsia="zh-CN"/>
              </w:rPr>
              <w:t>——</w:t>
            </w:r>
            <w:r>
              <w:rPr>
                <w:rFonts w:hint="eastAsia" w:ascii="宋体" w:hAnsi="宋体" w:cs="Times New Roman"/>
                <w:sz w:val="21"/>
                <w:szCs w:val="21"/>
                <w:highlight w:val="none"/>
                <w:lang w:val="en-US" w:eastAsia="zh-CN"/>
              </w:rPr>
              <w:t>去毛刺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highlight w:val="none"/>
                <w:lang w:val="en-US" w:eastAsia="zh-CN"/>
              </w:rPr>
              <w:t>——入库</w:t>
            </w:r>
          </w:p>
          <w:bookmarkEnd w:id="0"/>
          <w:p>
            <w:pPr>
              <w:adjustRightInd w:val="0"/>
              <w:snapToGrid w:val="0"/>
              <w:spacing w:line="400" w:lineRule="exact"/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hint="eastAsia" w:ascii="宋体" w:hAnsi="宋体" w:eastAsia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>关键工序</w:t>
            </w: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：</w:t>
            </w:r>
            <w:r>
              <w:rPr>
                <w:rFonts w:hint="eastAsia" w:ascii="宋体" w:hAnsi="宋体" w:cs="Times New Roman"/>
                <w:sz w:val="21"/>
                <w:szCs w:val="21"/>
                <w:highlight w:val="none"/>
                <w:lang w:val="en-US" w:eastAsia="zh-CN"/>
              </w:rPr>
              <w:t>精铣加工</w:t>
            </w:r>
          </w:p>
          <w:p>
            <w:pPr>
              <w:rPr>
                <w:rFonts w:hint="default" w:ascii="宋体" w:hAnsi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>确认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eastAsia="zh-CN"/>
              </w:rPr>
              <w:t>过程：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>无</w:t>
            </w:r>
          </w:p>
          <w:p>
            <w:pPr>
              <w:rPr>
                <w:rFonts w:hint="default" w:ascii="宋体" w:hAnsi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>外包过程：</w:t>
            </w:r>
            <w:r>
              <w:rPr>
                <w:rFonts w:hint="eastAsia" w:ascii="宋体" w:hAnsi="宋体" w:cs="Times New Roman"/>
                <w:sz w:val="21"/>
                <w:szCs w:val="21"/>
                <w:highlight w:val="none"/>
                <w:lang w:val="en-US" w:eastAsia="zh-CN"/>
              </w:rPr>
              <w:t>无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>。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jc w:val="both"/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eastAsia" w:ascii="宋体" w:hAnsi="宋体" w:cs="宋体"/>
                <w:bCs/>
                <w:sz w:val="21"/>
                <w:szCs w:val="21"/>
              </w:rPr>
            </w:pPr>
          </w:p>
          <w:p>
            <w:pPr>
              <w:rPr>
                <w:rFonts w:hint="eastAsia" w:ascii="宋体" w:hAnsi="宋体" w:cs="宋体"/>
                <w:bCs/>
                <w:sz w:val="21"/>
                <w:szCs w:val="21"/>
              </w:rPr>
            </w:pPr>
          </w:p>
          <w:p>
            <w:pPr>
              <w:rPr>
                <w:rFonts w:hint="eastAsia" w:ascii="宋体" w:hAnsi="宋体" w:cs="宋体"/>
                <w:bCs/>
                <w:sz w:val="21"/>
                <w:szCs w:val="21"/>
              </w:rPr>
            </w:pPr>
          </w:p>
          <w:p>
            <w:pPr>
              <w:rPr>
                <w:rFonts w:hint="eastAsia" w:ascii="宋体" w:hAnsi="宋体" w:cs="宋体"/>
                <w:bCs/>
                <w:sz w:val="21"/>
                <w:szCs w:val="21"/>
              </w:rPr>
            </w:pPr>
          </w:p>
          <w:p>
            <w:pPr>
              <w:rPr>
                <w:rFonts w:hint="eastAsia" w:ascii="宋体" w:hAnsi="宋体" w:cs="宋体"/>
                <w:bCs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公司普通机械零配件代加工工艺成熟,按国家规定的生产技术要求生产,因此标准8.3条款“产品和服务的设计和开发”要求不适用。公司确保不适用的质量管理体系的产品和服务的设计和开发要求，不影响组织确保产品和服务合格以及增强顾客满意的能力或责任。</w:t>
            </w:r>
          </w:p>
          <w:p>
            <w:pP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</w:pPr>
          </w:p>
          <w:p>
            <w:pPr>
              <w:spacing w:line="400" w:lineRule="exact"/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</w:p>
          <w:p>
            <w:pPr>
              <w:spacing w:line="400" w:lineRule="exact"/>
              <w:rPr>
                <w:rFonts w:hint="eastAsia" w:ascii="Times New Roman" w:hAnsi="Times New Roman" w:eastAsia="宋体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highlight w:val="none"/>
                <w:lang w:val="en-US" w:eastAsia="zh-CN"/>
              </w:rPr>
              <w:t>无</w:t>
            </w:r>
          </w:p>
          <w:p>
            <w:pPr>
              <w:spacing w:line="360" w:lineRule="auto"/>
              <w:ind w:firstLine="642" w:firstLineChars="200"/>
              <w:rPr>
                <w:rFonts w:hint="eastAsia" w:ascii="宋体" w:hAnsi="宋体" w:cs="宋体"/>
                <w:b/>
                <w:spacing w:val="20"/>
                <w:kern w:val="0"/>
                <w:sz w:val="28"/>
                <w:szCs w:val="28"/>
              </w:rPr>
            </w:pPr>
          </w:p>
          <w:p>
            <w:pP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eastAsia"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1、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合同履约达到率100%。</w:t>
            </w:r>
          </w:p>
          <w:p>
            <w:pPr>
              <w:rPr>
                <w:rFonts w:hint="eastAsia"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2、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最终产品一次合格率100%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3、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 xml:space="preserve">顾客满意率＞90% </w:t>
            </w:r>
          </w:p>
        </w:tc>
        <w:tc>
          <w:tcPr>
            <w:tcW w:w="893" w:type="dxa"/>
            <w:noWrap/>
            <w:vAlign w:val="top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Q:8.1、8.2</w:t>
            </w:r>
            <w:r>
              <w:rPr>
                <w:rFonts w:hint="eastAsia" w:ascii="宋体" w:hAnsi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</w:rPr>
              <w:t>8.3</w:t>
            </w:r>
          </w:p>
        </w:tc>
        <w:tc>
          <w:tcPr>
            <w:tcW w:w="800" w:type="dxa"/>
            <w:noWrap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3687" w:type="dxa"/>
            <w:noWrap/>
          </w:tcPr>
          <w:p>
            <w:pPr>
              <w:spacing w:line="400" w:lineRule="exact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设计开发产品或项目名称</w:t>
            </w:r>
          </w:p>
          <w:p>
            <w:pPr>
              <w:spacing w:line="400" w:lineRule="exact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主要原材料</w:t>
            </w:r>
          </w:p>
        </w:tc>
        <w:tc>
          <w:tcPr>
            <w:tcW w:w="9749" w:type="dxa"/>
            <w:noWrap/>
          </w:tcPr>
          <w:p>
            <w:pPr>
              <w:spacing w:line="400" w:lineRule="exact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无</w:t>
            </w:r>
          </w:p>
          <w:p>
            <w:pPr>
              <w:spacing w:line="400" w:lineRule="exact"/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szCs w:val="21"/>
                <w:highlight w:val="none"/>
                <w:lang w:val="en-US" w:eastAsia="zh-CN"/>
              </w:rPr>
              <w:t>毛坯</w:t>
            </w:r>
            <w:r>
              <w:rPr>
                <w:rFonts w:hint="eastAsia" w:ascii="Times New Roman" w:hAnsi="Times New Roman" w:eastAsia="宋体" w:cs="Times New Roman"/>
                <w:szCs w:val="21"/>
                <w:highlight w:val="none"/>
                <w:lang w:val="en-US" w:eastAsia="zh-CN"/>
              </w:rPr>
              <w:t>等。</w:t>
            </w:r>
          </w:p>
        </w:tc>
        <w:tc>
          <w:tcPr>
            <w:tcW w:w="893" w:type="dxa"/>
            <w:noWrap/>
            <w:vAlign w:val="top"/>
          </w:tcPr>
          <w:p>
            <w:pPr>
              <w:spacing w:line="44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Q8.3</w:t>
            </w:r>
          </w:p>
        </w:tc>
        <w:tc>
          <w:tcPr>
            <w:tcW w:w="800" w:type="dxa"/>
            <w:noWrap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符合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2" w:hRule="atLeast"/>
        </w:trPr>
        <w:tc>
          <w:tcPr>
            <w:tcW w:w="3687" w:type="dxa"/>
            <w:noWrap/>
          </w:tcPr>
          <w:p>
            <w:pPr>
              <w:spacing w:line="400" w:lineRule="exact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  <w:u w:val="single"/>
              </w:rPr>
              <w:t>员工人数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关键岗位持证上岗人员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特殊工种人员</w:t>
            </w:r>
          </w:p>
        </w:tc>
        <w:tc>
          <w:tcPr>
            <w:tcW w:w="9749" w:type="dxa"/>
            <w:noWrap/>
          </w:tcPr>
          <w:p>
            <w:pPr>
              <w:spacing w:line="400" w:lineRule="exact"/>
            </w:pPr>
            <w:r>
              <w:rPr>
                <w:rFonts w:hint="eastAsia"/>
                <w:lang w:val="en-US" w:eastAsia="zh-CN"/>
              </w:rPr>
              <w:t>20</w:t>
            </w:r>
            <w:r>
              <w:rPr>
                <w:rFonts w:hint="eastAsia"/>
              </w:rPr>
              <w:t>人</w:t>
            </w:r>
          </w:p>
          <w:p>
            <w:pPr>
              <w:spacing w:line="400" w:lineRule="exact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操作人员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无</w:t>
            </w:r>
          </w:p>
        </w:tc>
        <w:tc>
          <w:tcPr>
            <w:tcW w:w="893" w:type="dxa"/>
            <w:noWrap/>
            <w:vAlign w:val="top"/>
          </w:tcPr>
          <w:p>
            <w:pPr>
              <w:spacing w:line="44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Q:7.2</w:t>
            </w:r>
          </w:p>
        </w:tc>
        <w:tc>
          <w:tcPr>
            <w:tcW w:w="800" w:type="dxa"/>
            <w:noWrap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符合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1" w:hRule="atLeast"/>
        </w:trPr>
        <w:tc>
          <w:tcPr>
            <w:tcW w:w="3687" w:type="dxa"/>
            <w:noWrap/>
          </w:tcPr>
          <w:p>
            <w:pPr>
              <w:spacing w:line="400" w:lineRule="exact"/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主要经营设备</w:t>
            </w:r>
          </w:p>
          <w:p>
            <w:pPr>
              <w:pStyle w:val="13"/>
              <w:rPr>
                <w:highlight w:val="none"/>
              </w:rPr>
            </w:pPr>
          </w:p>
          <w:p>
            <w:pPr>
              <w:pStyle w:val="13"/>
              <w:rPr>
                <w:rFonts w:hint="eastAsia"/>
                <w:highlight w:val="none"/>
                <w:lang w:val="en-US" w:eastAsia="zh-CN"/>
              </w:rPr>
            </w:pPr>
          </w:p>
          <w:p>
            <w:pPr>
              <w:spacing w:line="400" w:lineRule="exact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特种设备</w:t>
            </w:r>
          </w:p>
          <w:p>
            <w:pPr>
              <w:spacing w:line="400" w:lineRule="exact"/>
              <w:rPr>
                <w:szCs w:val="21"/>
                <w:highlight w:val="none"/>
              </w:rPr>
            </w:pPr>
          </w:p>
          <w:p>
            <w:pPr>
              <w:spacing w:line="400" w:lineRule="exact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主要检测设备及设备的检定/校准（QMS）</w:t>
            </w:r>
          </w:p>
        </w:tc>
        <w:tc>
          <w:tcPr>
            <w:tcW w:w="9749" w:type="dxa"/>
            <w:noWrap/>
          </w:tcPr>
          <w:p>
            <w:pPr>
              <w:spacing w:line="400" w:lineRule="exact"/>
              <w:rPr>
                <w:rFonts w:hint="eastAsia" w:eastAsia="宋体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1"/>
              </w:rPr>
              <w:t>主要设备为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lang w:val="en-US" w:eastAsia="zh-CN"/>
              </w:rPr>
              <w:t>铣床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lang w:val="en-US" w:eastAsia="zh-CN"/>
              </w:rPr>
              <w:t>钻床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lang w:val="en-US" w:eastAsia="zh-CN"/>
              </w:rPr>
              <w:t>角磨机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</w:rPr>
              <w:t>等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highlight w:val="none"/>
                <w:lang w:val="en-US" w:eastAsia="zh-CN"/>
              </w:rPr>
              <w:t>及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highlight w:val="none"/>
              </w:rPr>
              <w:t>办公设备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lang w:eastAsia="zh-CN"/>
              </w:rPr>
              <w:t>。</w:t>
            </w:r>
          </w:p>
          <w:p>
            <w:pPr>
              <w:spacing w:line="400" w:lineRule="exact"/>
              <w:rPr>
                <w:rFonts w:hint="eastAsia"/>
                <w:szCs w:val="21"/>
                <w:highlight w:val="none"/>
              </w:rPr>
            </w:pPr>
          </w:p>
          <w:p>
            <w:pPr>
              <w:pStyle w:val="13"/>
              <w:rPr>
                <w:rFonts w:hint="eastAsia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pStyle w:val="13"/>
              <w:rPr>
                <w:rFonts w:hint="default" w:ascii="宋体" w:hAnsi="宋体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行车</w:t>
            </w:r>
            <w:r>
              <w:rPr>
                <w:rFonts w:hint="eastAsia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。</w:t>
            </w:r>
          </w:p>
          <w:p>
            <w:pPr>
              <w:spacing w:line="400" w:lineRule="exact"/>
              <w:rPr>
                <w:rFonts w:hint="eastAsia" w:ascii="宋体" w:hAnsi="宋体" w:eastAsia="宋体" w:cs="Times New Roman"/>
                <w:color w:val="auto"/>
                <w:szCs w:val="21"/>
              </w:rPr>
            </w:pPr>
          </w:p>
          <w:p>
            <w:pPr>
              <w:rPr>
                <w:rFonts w:hint="default" w:ascii="宋体" w:hAnsi="宋体" w:eastAsia="宋体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  <w:t>游标卡尺，千分表，百分表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highlight w:val="none"/>
                <w:lang w:val="en-US" w:eastAsia="zh-CN"/>
              </w:rPr>
              <w:t>等。采取外检，提供的检测设备检定或校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lang w:val="en-US" w:eastAsia="zh-CN"/>
              </w:rPr>
              <w:t>准证书已过期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highlight w:val="none"/>
              </w:rPr>
              <w:t>。</w:t>
            </w:r>
          </w:p>
          <w:p>
            <w:pPr>
              <w:spacing w:line="400" w:lineRule="exact"/>
              <w:rPr>
                <w:szCs w:val="21"/>
                <w:highlight w:val="none"/>
              </w:rPr>
            </w:pPr>
          </w:p>
        </w:tc>
        <w:tc>
          <w:tcPr>
            <w:tcW w:w="893" w:type="dxa"/>
            <w:noWrap/>
            <w:vAlign w:val="top"/>
          </w:tcPr>
          <w:p>
            <w:pPr>
              <w:spacing w:line="44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Q:7.1</w:t>
            </w:r>
          </w:p>
          <w:p>
            <w:pPr>
              <w:spacing w:line="440" w:lineRule="exact"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Q7.1.3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800" w:type="dxa"/>
            <w:noWrap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  <w:lang w:val="en-US" w:eastAsia="zh-CN"/>
              </w:rPr>
              <w:t>不</w:t>
            </w:r>
            <w:r>
              <w:rPr>
                <w:rFonts w:hint="eastAsia" w:ascii="宋体" w:hAnsi="宋体"/>
                <w:color w:val="FF0000"/>
                <w:szCs w:val="21"/>
              </w:rPr>
              <w:t>符合</w:t>
            </w: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3687" w:type="dxa"/>
            <w:noWrap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顾客及相关方投诉</w:t>
            </w:r>
          </w:p>
        </w:tc>
        <w:tc>
          <w:tcPr>
            <w:tcW w:w="9749" w:type="dxa"/>
            <w:noWrap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暂无</w:t>
            </w:r>
          </w:p>
        </w:tc>
        <w:tc>
          <w:tcPr>
            <w:tcW w:w="893" w:type="dxa"/>
            <w:noWrap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0" w:type="dxa"/>
            <w:noWrap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3687" w:type="dxa"/>
            <w:noWrap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方针及目标、指标及方案</w:t>
            </w:r>
          </w:p>
          <w:p>
            <w:pPr>
              <w:spacing w:line="400" w:lineRule="exact"/>
              <w:rPr>
                <w:szCs w:val="21"/>
              </w:rPr>
            </w:pPr>
          </w:p>
        </w:tc>
        <w:tc>
          <w:tcPr>
            <w:tcW w:w="9749" w:type="dxa"/>
            <w:noWrap/>
          </w:tcPr>
          <w:p>
            <w:pPr>
              <w:rPr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方针：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“</w:t>
            </w:r>
            <w:r>
              <w:rPr>
                <w:rFonts w:hint="eastAsia" w:ascii="宋体" w:hAnsi="宋体"/>
                <w:szCs w:val="21"/>
              </w:rPr>
              <w:t>质量第一、顾客至上、全员参与、追求卓越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”。</w:t>
            </w:r>
          </w:p>
        </w:tc>
        <w:tc>
          <w:tcPr>
            <w:tcW w:w="893" w:type="dxa"/>
            <w:noWrap/>
            <w:vAlign w:val="top"/>
          </w:tcPr>
          <w:p>
            <w:pPr>
              <w:adjustRightInd w:val="0"/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Q:</w:t>
            </w:r>
            <w:r>
              <w:rPr>
                <w:rFonts w:hint="eastAsia" w:ascii="宋体" w:hAnsi="宋体" w:cs="宋体"/>
                <w:szCs w:val="21"/>
              </w:rPr>
              <w:t>5.1;6.2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0" w:type="dxa"/>
            <w:noWrap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7" w:hRule="atLeast"/>
        </w:trPr>
        <w:tc>
          <w:tcPr>
            <w:tcW w:w="3687" w:type="dxa"/>
            <w:noWrap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内部审核：</w:t>
            </w:r>
          </w:p>
          <w:p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时间</w:t>
            </w:r>
          </w:p>
          <w:p>
            <w:pPr>
              <w:spacing w:line="380" w:lineRule="exact"/>
              <w:rPr>
                <w:rFonts w:ascii="宋体" w:hAnsi="宋体"/>
                <w:szCs w:val="21"/>
              </w:rPr>
            </w:pPr>
          </w:p>
          <w:p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  <w:p>
            <w:pPr>
              <w:spacing w:line="380" w:lineRule="exact"/>
              <w:rPr>
                <w:rFonts w:ascii="宋体" w:hAnsi="宋体"/>
                <w:szCs w:val="21"/>
              </w:rPr>
            </w:pPr>
          </w:p>
          <w:p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不符合及整改</w:t>
            </w:r>
          </w:p>
          <w:p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749" w:type="dxa"/>
            <w:noWrap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建立有《内部控制程序》</w:t>
            </w:r>
          </w:p>
          <w:p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见有《内部审核计划表》 </w:t>
            </w:r>
          </w:p>
          <w:p>
            <w:pPr>
              <w:jc w:val="both"/>
              <w:rPr>
                <w:rFonts w:hint="default" w:ascii="宋体" w:hAnsi="宋体"/>
                <w:szCs w:val="21"/>
                <w:lang w:val="en-US"/>
              </w:rPr>
            </w:pPr>
            <w:r>
              <w:rPr>
                <w:rFonts w:hint="eastAsia" w:ascii="宋体" w:hAnsi="宋体"/>
                <w:szCs w:val="21"/>
              </w:rPr>
              <w:t>内审时间：</w:t>
            </w:r>
            <w:r>
              <w:rPr>
                <w:rFonts w:hint="eastAsia" w:ascii="宋体" w:hAnsi="宋体"/>
                <w:szCs w:val="21"/>
                <w:lang w:eastAsia="zh-CN"/>
              </w:rPr>
              <w:t>202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Cs w:val="21"/>
                <w:lang w:eastAsia="zh-CN"/>
              </w:rPr>
              <w:t xml:space="preserve">年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Cs w:val="21"/>
                <w:lang w:eastAsia="zh-CN"/>
              </w:rPr>
              <w:t>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Cs w:val="21"/>
                <w:lang w:eastAsia="zh-CN"/>
              </w:rPr>
              <w:t>日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-</w:t>
            </w:r>
            <w:r>
              <w:rPr>
                <w:rFonts w:hint="eastAsia" w:ascii="宋体" w:hAnsi="宋体"/>
                <w:szCs w:val="21"/>
                <w:lang w:eastAsia="zh-CN"/>
              </w:rPr>
              <w:t>202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Cs w:val="21"/>
                <w:lang w:eastAsia="zh-CN"/>
              </w:rPr>
              <w:t xml:space="preserve">年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Cs w:val="21"/>
                <w:lang w:eastAsia="zh-CN"/>
              </w:rPr>
              <w:t>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Cs w:val="21"/>
                <w:lang w:eastAsia="zh-CN"/>
              </w:rPr>
              <w:t>日</w:t>
            </w:r>
          </w:p>
          <w:p>
            <w:pPr>
              <w:pStyle w:val="6"/>
              <w:spacing w:before="0" w:beforeAutospacing="0" w:after="0" w:afterAutospacing="0" w:line="240" w:lineRule="exact"/>
              <w:jc w:val="both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jc w:val="both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组长：袁明华    组员：苏顺东</w:t>
            </w:r>
          </w:p>
          <w:p>
            <w:pPr>
              <w:spacing w:line="380" w:lineRule="exact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见</w:t>
            </w:r>
            <w:r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有：《内审不符合项报告》1份 ，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4"/>
                <w:lang w:val="en-US" w:eastAsia="zh-CN" w:bidi="ar-SA"/>
              </w:rPr>
              <w:t>涉及</w:t>
            </w:r>
            <w:r>
              <w:rPr>
                <w:rFonts w:hint="eastAsia" w:ascii="宋体" w:hAnsi="宋体" w:cs="宋体"/>
                <w:color w:val="000000"/>
                <w:kern w:val="2"/>
                <w:sz w:val="21"/>
                <w:szCs w:val="24"/>
                <w:lang w:val="en-US" w:eastAsia="zh-CN" w:bidi="ar-SA"/>
              </w:rPr>
              <w:t>总经办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4"/>
                <w:lang w:val="en-US" w:eastAsia="zh-CN" w:bidi="ar-SA"/>
              </w:rPr>
              <w:t>Q7.2条款202</w:t>
            </w:r>
            <w:r>
              <w:rPr>
                <w:rFonts w:hint="eastAsia" w:ascii="宋体" w:hAnsi="宋体" w:cs="宋体"/>
                <w:color w:val="000000"/>
                <w:kern w:val="2"/>
                <w:sz w:val="21"/>
                <w:szCs w:val="24"/>
                <w:lang w:val="en-US" w:eastAsia="zh-CN" w:bidi="ar-SA"/>
              </w:rPr>
              <w:t>1年</w:t>
            </w:r>
            <w:r>
              <w:rPr>
                <w:rFonts w:hint="eastAsia" w:cs="宋体"/>
                <w:color w:val="000000"/>
                <w:kern w:val="2"/>
                <w:sz w:val="21"/>
                <w:szCs w:val="24"/>
                <w:lang w:val="en-US" w:eastAsia="zh-CN" w:bidi="ar-SA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2"/>
                <w:sz w:val="21"/>
                <w:szCs w:val="24"/>
                <w:lang w:val="en-US" w:eastAsia="zh-CN" w:bidi="ar-SA"/>
              </w:rPr>
              <w:t>月7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4"/>
                <w:lang w:val="en-US" w:eastAsia="zh-CN" w:bidi="ar-SA"/>
              </w:rPr>
              <w:t>日查</w:t>
            </w:r>
            <w:r>
              <w:rPr>
                <w:rFonts w:hint="eastAsia" w:ascii="宋体" w:hAnsi="宋体" w:cs="宋体"/>
                <w:color w:val="000000"/>
                <w:kern w:val="2"/>
                <w:sz w:val="21"/>
                <w:szCs w:val="24"/>
                <w:lang w:val="en-US" w:eastAsia="zh-CN" w:bidi="ar-SA"/>
              </w:rPr>
              <w:t>总经办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4"/>
                <w:lang w:val="en-US" w:eastAsia="zh-CN" w:bidi="ar-SA"/>
              </w:rPr>
              <w:t>20</w:t>
            </w:r>
            <w:r>
              <w:rPr>
                <w:rFonts w:hint="eastAsia" w:cs="宋体"/>
                <w:color w:val="000000"/>
                <w:kern w:val="2"/>
                <w:sz w:val="21"/>
                <w:szCs w:val="24"/>
                <w:lang w:val="en-US" w:eastAsia="zh-CN" w:bidi="ar-SA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4"/>
                <w:lang w:val="en-US" w:eastAsia="zh-CN" w:bidi="ar-SA"/>
              </w:rPr>
              <w:t>0年培训记录，</w:t>
            </w:r>
            <w:r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未见质量管理体系标准培训时的记录，针对该不符合项，已及时采取纠正措施后，经内审员验证关闭。</w:t>
            </w:r>
          </w:p>
          <w:p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有《内部审核报告》，有审核结论。</w:t>
            </w:r>
          </w:p>
        </w:tc>
        <w:tc>
          <w:tcPr>
            <w:tcW w:w="893" w:type="dxa"/>
            <w:noWrap/>
            <w:vAlign w:val="top"/>
          </w:tcPr>
          <w:p>
            <w:pPr>
              <w:adjustRightInd w:val="0"/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Q:</w:t>
            </w:r>
            <w:r>
              <w:rPr>
                <w:rFonts w:hint="eastAsia" w:ascii="宋体" w:hAnsi="宋体" w:cs="宋体"/>
                <w:szCs w:val="21"/>
              </w:rPr>
              <w:t>9.2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0" w:type="dxa"/>
            <w:noWrap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符合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4" w:hRule="atLeast"/>
        </w:trPr>
        <w:tc>
          <w:tcPr>
            <w:tcW w:w="3687" w:type="dxa"/>
            <w:noWrap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管理评审：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时间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输入是否完整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提出的改进内容</w:t>
            </w:r>
          </w:p>
          <w:p>
            <w:pPr>
              <w:spacing w:line="400" w:lineRule="exact"/>
              <w:rPr>
                <w:szCs w:val="21"/>
              </w:rPr>
            </w:pPr>
          </w:p>
        </w:tc>
        <w:tc>
          <w:tcPr>
            <w:tcW w:w="9749" w:type="dxa"/>
            <w:noWrap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查见《管理评审计划》、《管理评审会议记录》</w:t>
            </w:r>
          </w:p>
          <w:p>
            <w:pPr>
              <w:spacing w:line="380" w:lineRule="exact"/>
              <w:rPr>
                <w:rFonts w:ascii="宋体" w:hAnsi="宋体"/>
                <w:szCs w:val="21"/>
              </w:rPr>
            </w:pPr>
          </w:p>
          <w:p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管理评审</w:t>
            </w:r>
            <w:r>
              <w:rPr>
                <w:rFonts w:hint="eastAsia" w:ascii="宋体" w:hAnsi="Times New Roman" w:eastAsia="宋体" w:cs="Times New Roman"/>
                <w:kern w:val="0"/>
                <w:szCs w:val="21"/>
              </w:rPr>
              <w:t>于</w:t>
            </w: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202</w:t>
            </w:r>
            <w:r>
              <w:rPr>
                <w:rFonts w:hint="eastAsia" w:ascii="宋体" w:hAnsi="宋体" w:cs="Times New Roman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年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月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Times New Roman"/>
                <w:szCs w:val="21"/>
                <w:lang w:val="en-US" w:eastAsia="zh-CN"/>
              </w:rPr>
              <w:t>6</w:t>
            </w:r>
            <w:r>
              <w:rPr>
                <w:rFonts w:hint="eastAsia" w:ascii="宋体" w:hAnsi="Times New Roman" w:eastAsia="宋体" w:cs="Times New Roman"/>
                <w:kern w:val="0"/>
                <w:szCs w:val="21"/>
                <w:lang w:eastAsia="zh-CN"/>
              </w:rPr>
              <w:t>日</w:t>
            </w:r>
            <w:r>
              <w:rPr>
                <w:rFonts w:hint="eastAsia" w:ascii="宋体" w:hAnsi="Times New Roman" w:eastAsia="宋体" w:cs="Times New Roman"/>
                <w:kern w:val="0"/>
                <w:szCs w:val="21"/>
              </w:rPr>
              <w:t>由</w:t>
            </w:r>
            <w:r>
              <w:rPr>
                <w:rFonts w:hint="eastAsia" w:ascii="宋体" w:hAnsi="Times New Roman" w:eastAsia="宋体" w:cs="Times New Roman"/>
                <w:kern w:val="0"/>
                <w:szCs w:val="21"/>
                <w:lang w:eastAsia="zh-CN"/>
              </w:rPr>
              <w:t>陈小玲</w:t>
            </w:r>
            <w:r>
              <w:rPr>
                <w:rFonts w:hint="eastAsia" w:ascii="宋体" w:hAnsi="Times New Roman" w:eastAsia="宋体" w:cs="Times New Roman"/>
                <w:kern w:val="0"/>
                <w:szCs w:val="21"/>
              </w:rPr>
              <w:t>总经理主持完成。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ascii="宋体" w:hAnsi="宋体"/>
                <w:kern w:val="0"/>
                <w:szCs w:val="21"/>
              </w:rPr>
            </w:pPr>
          </w:p>
          <w:p>
            <w:pPr>
              <w:adjustRightInd w:val="0"/>
              <w:spacing w:line="400" w:lineRule="exact"/>
              <w:textAlignment w:val="baseline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提供主要输入材料有：各部门总结，</w:t>
            </w:r>
            <w:r>
              <w:rPr>
                <w:rFonts w:hint="eastAsia" w:ascii="宋体"/>
                <w:kern w:val="0"/>
                <w:szCs w:val="21"/>
              </w:rPr>
              <w:t>输入信息基本充分和满足要求。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输出见“管理评审报告”, 做出了管理体系基本适宜、充分和有效的评审结论。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提出改进1项：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进一步强化质量管理体系标准的培训。</w:t>
            </w:r>
          </w:p>
        </w:tc>
        <w:tc>
          <w:tcPr>
            <w:tcW w:w="893" w:type="dxa"/>
            <w:noWrap/>
            <w:vAlign w:val="top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Q:</w:t>
            </w:r>
            <w:r>
              <w:rPr>
                <w:rFonts w:hint="eastAsia" w:ascii="宋体" w:hAnsi="宋体" w:cs="宋体"/>
                <w:szCs w:val="21"/>
              </w:rPr>
              <w:t>9.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3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0" w:type="dxa"/>
            <w:noWrap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符合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4" w:hRule="atLeast"/>
        </w:trPr>
        <w:tc>
          <w:tcPr>
            <w:tcW w:w="3687" w:type="dxa"/>
            <w:noWrap/>
            <w:vAlign w:val="top"/>
          </w:tcPr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  <w:t>是否具备二阶段审核结论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  <w:t>第二阶段重要审核点等相关内容</w:t>
            </w:r>
          </w:p>
        </w:tc>
        <w:tc>
          <w:tcPr>
            <w:tcW w:w="9749" w:type="dxa"/>
            <w:noWrap/>
            <w:vAlign w:val="top"/>
          </w:tcPr>
          <w:p>
            <w:pPr>
              <w:adjustRightInd w:val="0"/>
              <w:snapToGrid w:val="0"/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  <w:t>通过一阶段对受审核方的管理、办公现场巡视和观察，对管理体系绩效要求有重大影响的过程、活动、场所和现场运行进行观察、巡视及总体性评价，组织具备二阶段审核条件，可进行二阶段审核。</w:t>
            </w:r>
          </w:p>
          <w:p>
            <w:pPr>
              <w:adjustRightInd w:val="0"/>
              <w:snapToGrid w:val="0"/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</w:pPr>
          </w:p>
          <w:p>
            <w:pPr>
              <w:adjustRightInd w:val="0"/>
              <w:snapToGrid w:val="0"/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  <w:t>二阶段质量管理体系宜重点关注（客户管理、采购验收、交付过程）：</w:t>
            </w:r>
          </w:p>
          <w:p>
            <w:pPr>
              <w:adjustRightInd w:val="0"/>
              <w:snapToGrid w:val="0"/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  <w:t>重点审核部门：生产部</w:t>
            </w:r>
          </w:p>
          <w:p>
            <w:pPr>
              <w:adjustRightInd w:val="0"/>
              <w:snapToGrid w:val="0"/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  <w:t>重点审核过程：外部供应产品和服务的控制、产品放行、不合格产品控制等</w:t>
            </w:r>
          </w:p>
          <w:p>
            <w:pPr>
              <w:adjustRightInd w:val="0"/>
              <w:snapToGrid w:val="0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  <w:t>重点审核场所：生产场所。</w:t>
            </w:r>
          </w:p>
        </w:tc>
        <w:tc>
          <w:tcPr>
            <w:tcW w:w="893" w:type="dxa"/>
            <w:noWrap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0" w:type="dxa"/>
            <w:noWrap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</w:tbl>
    <w:p>
      <w:pPr>
        <w:pStyle w:val="4"/>
      </w:pPr>
      <w:r>
        <w:rPr>
          <w:rFonts w:hint="eastAsia"/>
        </w:rPr>
        <w:t>说明：不符合标注N</w:t>
      </w:r>
    </w:p>
    <w:p>
      <w:pPr>
        <w:pStyle w:val="4"/>
      </w:pPr>
    </w:p>
    <w:p>
      <w:pPr>
        <w:pStyle w:val="4"/>
      </w:pPr>
    </w:p>
    <w:p>
      <w:pPr>
        <w:pStyle w:val="4"/>
      </w:pPr>
    </w:p>
    <w:p>
      <w:pPr>
        <w:pStyle w:val="4"/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554.75pt;margin-top:2.2pt;height:20.2pt;width:17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13</w:t>
                </w:r>
                <w:r>
                  <w:rPr>
                    <w:rFonts w:hint="eastAsia"/>
                    <w:sz w:val="18"/>
                    <w:szCs w:val="18"/>
                  </w:rPr>
                  <w:t>管理体系审核记录表(03版)</w:t>
                </w:r>
              </w:p>
            </w:txbxContent>
          </v:textbox>
        </v:shape>
      </w:pict>
    </w:r>
    <w:r>
      <w:rPr>
        <w:rStyle w:val="12"/>
        <w:rFonts w:hint="default"/>
        <w:w w:val="90"/>
      </w:rPr>
      <w:t>Beijing International Standard united Certification Co.,Ltd.</w:t>
    </w:r>
  </w:p>
  <w:p>
    <w:pPr>
      <w:pStyle w:val="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0A270F7"/>
    <w:rsid w:val="75720FF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rPr>
      <w:color w:val="000000"/>
      <w:kern w:val="0"/>
      <w:sz w:val="24"/>
      <w:szCs w:val="24"/>
    </w:r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8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3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宋体" w:hAnsi="宋体" w:eastAsia="宋体" w:cs="Times New Roman"/>
      <w:color w:val="000000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</Words>
  <Characters>86</Characters>
  <Lines>1</Lines>
  <Paragraphs>1</Paragraphs>
  <TotalTime>8</TotalTime>
  <ScaleCrop>false</ScaleCrop>
  <LinksUpToDate>false</LinksUpToDate>
  <CharactersWithSpaces>100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2015-06-17T12:51:00Z</dcterms:created>
  <dc:creator>微软用户</dc:creator>
  <cp:lastModifiedBy>Administrator</cp:lastModifiedBy>
  <dcterms:modified xsi:type="dcterms:W3CDTF">2021-04-20T06:33:07Z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F051BB1485FC4760BCCCA6A2293657AE</vt:lpwstr>
  </property>
</Properties>
</file>