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-1081405</wp:posOffset>
            </wp:positionV>
            <wp:extent cx="7327900" cy="10292080"/>
            <wp:effectExtent l="0" t="0" r="0" b="7620"/>
            <wp:wrapNone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029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0063-2018-2021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飞燕航空遥感技术有限公司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>综合办公室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谢 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河北大江仪器检测中心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的资质、授权范围</w:t>
            </w:r>
            <w:r>
              <w:rPr>
                <w:rFonts w:hint="eastAsia"/>
                <w:lang w:eastAsia="zh-CN"/>
              </w:rPr>
              <w:t>进行评价。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按照计量外部供方管理程序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对外部供方能力进行评价和选择，并做好相应记录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对相关人员进行</w:t>
            </w:r>
            <w:r>
              <w:rPr>
                <w:rFonts w:hint="eastAsia" w:ascii="宋体" w:hAnsi="宋体"/>
                <w:u w:val="none"/>
              </w:rPr>
              <w:t>GB/T19022:2003标准6.4条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培训，确保以后不再出现此类问题。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F5D56"/>
    <w:rsid w:val="339E739A"/>
    <w:rsid w:val="47096FCA"/>
    <w:rsid w:val="73177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2021-04-22T22:54:24Z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BB5102B6173C42FE92F1CBF119705D3A</vt:lpwstr>
  </property>
</Properties>
</file>