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-923290</wp:posOffset>
            </wp:positionV>
            <wp:extent cx="7259320" cy="10292715"/>
            <wp:effectExtent l="0" t="0" r="5080" b="6985"/>
            <wp:wrapNone/>
            <wp:docPr id="2" name="图片 2" descr="扫描全能王 2021-04-21 14.4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21 14.46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9320" cy="1029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0342-2021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20"/>
        <w:gridCol w:w="840"/>
        <w:gridCol w:w="749"/>
        <w:gridCol w:w="1863"/>
        <w:gridCol w:w="10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钢板热浸镀层的厚度检测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工艺质量设备部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100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  <w:tc>
          <w:tcPr>
            <w:tcW w:w="26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6.67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  <w:tc>
          <w:tcPr>
            <w:tcW w:w="26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863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涂层测厚仪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1000</w:t>
            </w:r>
            <w:r>
              <w:rPr>
                <w:rFonts w:hint="eastAsia"/>
              </w:rPr>
              <w:t>μm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±（0.5μm+1%H）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0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EDJ-KG-1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0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EDJ-KG-1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温度：20℃±3℃  湿度：30-75%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孙海霞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钢板热浸镀层的厚度检测不确定度评定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高度控制测量过程有效性确认记录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Times New Roman" w:hAnsi="Times New Roman" w:cs="Times New Roman"/>
              </w:rPr>
              <w:t>钢板热浸镀层的厚度检测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Times New Roman" w:hAnsi="Times New Roman" w:cs="Times New Roman"/>
              </w:rPr>
              <w:t>孙海霞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宋体" w:hAnsi="宋体"/>
                <w:sz w:val="21"/>
                <w:szCs w:val="21"/>
              </w:rPr>
              <w:t>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重复性</w:t>
            </w:r>
            <w:r>
              <w:rPr>
                <w:rFonts w:hint="eastAsia"/>
                <w:sz w:val="21"/>
                <w:szCs w:val="21"/>
              </w:rPr>
              <w:t>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 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2606D8"/>
    <w:rsid w:val="6E9F23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2021-04-21T07:01:09Z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B8DC37A30AE14D36B640CC2031B70A55</vt:lpwstr>
  </property>
</Properties>
</file>