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3"/>
        <w:gridCol w:w="13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重庆跃达电力设备有限公司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Q：19.09.02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E：19.09.02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O：19.09.02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3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73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Q：19.09.02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真空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断路器的生产流程：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绝缘拉杆装配——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上绝缘筒灌胶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--内部附件及下绝缘筒安装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装配——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电气配线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主体件及机构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安装——互感器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及复合控制器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电气参数测试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耐压测试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箱外安装封底盖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零部件清理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导电分装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--底座分装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零部件清理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导电分装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--底座分装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入库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装配、测试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过程为关键过程。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固废排放、潜在火，采取管理方案和应急管理方案控制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eastAsia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重大危险源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：火灾、触电、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采取管理方案和应急管理方案控制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《高压交流断路器GB 1984》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《高压交流隔离开关和接地开关》GB 1985-2014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《高压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交流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熔断器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第三部份：喷射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熔断器》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/T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15166.3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2008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等标准、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检验项目：外观、电气性能等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91440</wp:posOffset>
            </wp:positionV>
            <wp:extent cx="788035" cy="49085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114300</wp:posOffset>
            </wp:positionV>
            <wp:extent cx="775335" cy="483235"/>
            <wp:effectExtent l="0" t="0" r="1905" b="444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2021.4.20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2021.4.20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0364BF"/>
    <w:rsid w:val="6D2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2021-04-22T13:36:19Z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1C8D6DC4EA6A4E8880EEE6607747A6C8</vt:lpwstr>
  </property>
</Properties>
</file>