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bidi w:val="0"/>
        <w:ind w:right="458" w:rightChars="191"/>
        <w:jc w:val="left"/>
        <w:rPr>
          <w:rFonts w:hint="eastAsia" w:ascii="宋体" w:hAnsi="宋体"/>
          <w:b/>
          <w:bCs/>
          <w:sz w:val="24"/>
          <w:szCs w:val="24"/>
          <w:u w:val="none"/>
        </w:rPr>
      </w:pPr>
      <w:r>
        <w:rPr>
          <w:rFonts w:hint="eastAsia" w:ascii="宋体" w:hAnsi="宋体"/>
          <w:b/>
          <w:bCs/>
          <w:sz w:val="24"/>
          <w:szCs w:val="24"/>
          <w:u w:val="none"/>
        </w:rPr>
        <w:t>编  号：</w:t>
      </w:r>
      <w:bookmarkStart w:id="0" w:name="合同编号"/>
      <w:r>
        <w:rPr>
          <w:rFonts w:hint="eastAsia" w:ascii="宋体" w:hAnsi="宋体"/>
          <w:b/>
          <w:bCs/>
          <w:kern w:val="0"/>
          <w:sz w:val="24"/>
          <w:szCs w:val="24"/>
          <w:u w:val="none"/>
        </w:rPr>
        <w:t>0167-2020-QEO-2021</w:t>
      </w:r>
      <w:bookmarkEnd w:id="0"/>
      <w:r>
        <w:rPr>
          <w:rFonts w:hint="eastAsia" w:ascii="宋体" w:hAnsi="宋体"/>
          <w:b/>
          <w:bCs/>
          <w:kern w:val="0"/>
          <w:sz w:val="24"/>
          <w:szCs w:val="24"/>
          <w:u w:val="none"/>
        </w:rPr>
        <w:t xml:space="preserve"> </w:t>
      </w:r>
    </w:p>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重庆恒瑞宏电力工程有限公司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1699" w:type="dxa"/>
            <w:vAlign w:val="center"/>
          </w:tcPr>
          <w:p>
            <w:pPr>
              <w:jc w:val="center"/>
              <w:rPr>
                <w:b/>
                <w:sz w:val="21"/>
                <w:szCs w:val="21"/>
              </w:rPr>
            </w:pPr>
            <w:r>
              <w:rPr>
                <w:b/>
                <w:sz w:val="21"/>
                <w:szCs w:val="21"/>
              </w:rPr>
              <w:t>2018-N1QMS-2207381</w:t>
            </w:r>
          </w:p>
          <w:p>
            <w:pPr>
              <w:jc w:val="center"/>
              <w:rPr>
                <w:b/>
                <w:sz w:val="21"/>
                <w:szCs w:val="21"/>
              </w:rPr>
            </w:pPr>
            <w:r>
              <w:rPr>
                <w:b/>
                <w:sz w:val="21"/>
                <w:szCs w:val="21"/>
              </w:rPr>
              <w:t>2020-N0EMS-1207381</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default" w:eastAsia="宋体"/>
          <w:b/>
          <w:sz w:val="21"/>
          <w:szCs w:val="21"/>
          <w:u w:val="single"/>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监督1</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sz w:val="21"/>
              </w:rPr>
              <w:t>重庆恒瑞宏电力工程有限公司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重庆市江北区东环路48号23-3</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重庆市江北区郭家沱铜锣村1号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重庆市江北区郭家沱铜锣村1号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鲁景桔</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023-67982088</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鲁景桔</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鲁鹏</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2021年04月19日 上午至2021年04月19日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：高低压成套设备、五金交电、电线电缆、电气设备的销售</w:t>
            </w:r>
            <w:r>
              <w:rPr>
                <w:rFonts w:hint="eastAsia" w:ascii="宋体" w:hAnsi="宋体"/>
                <w:b/>
                <w:sz w:val="21"/>
                <w:szCs w:val="21"/>
                <w:lang w:eastAsia="zh-CN"/>
              </w:rPr>
              <w:t>。</w:t>
            </w:r>
          </w:p>
          <w:p>
            <w:pPr>
              <w:spacing w:line="360" w:lineRule="exact"/>
              <w:rPr>
                <w:rFonts w:hint="eastAsia" w:ascii="宋体" w:hAnsi="宋体" w:eastAsia="宋体"/>
                <w:b/>
                <w:sz w:val="21"/>
                <w:szCs w:val="21"/>
                <w:lang w:eastAsia="zh-CN"/>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：高低压成套设备、五金交电、电线电缆、电气设备的销售所涉及的相关环境管理活动</w:t>
            </w:r>
            <w:r>
              <w:rPr>
                <w:rFonts w:hint="eastAsia" w:ascii="宋体" w:hAnsi="宋体"/>
                <w:b/>
                <w:sz w:val="21"/>
                <w:szCs w:val="21"/>
                <w:lang w:eastAsia="zh-CN"/>
              </w:rPr>
              <w:t>。</w:t>
            </w:r>
          </w:p>
          <w:p>
            <w:pPr>
              <w:spacing w:line="360" w:lineRule="exact"/>
              <w:rPr>
                <w:rFonts w:hint="eastAsia" w:ascii="宋体" w:hAnsi="宋体" w:eastAsia="宋体"/>
                <w:b/>
                <w:sz w:val="21"/>
                <w:szCs w:val="21"/>
                <w:lang w:eastAsia="zh-CN"/>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 xml:space="preserve">：高低压成套设备、五金交电、电线电缆、电气设备的销售所涉及的相关职业健康安全管理活动 </w:t>
            </w:r>
            <w:r>
              <w:rPr>
                <w:rFonts w:hint="eastAsia" w:ascii="宋体" w:hAnsi="宋体"/>
                <w:b/>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Q：29.12.00</w:t>
            </w:r>
          </w:p>
          <w:p>
            <w:pPr>
              <w:spacing w:line="260" w:lineRule="exact"/>
              <w:rPr>
                <w:rFonts w:ascii="宋体" w:hAnsi="宋体"/>
                <w:b/>
                <w:sz w:val="21"/>
                <w:szCs w:val="21"/>
              </w:rPr>
            </w:pPr>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O：29.12.00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b/>
                <w:sz w:val="21"/>
                <w:highlight w:val="none"/>
                <w:lang w:val="en-US" w:eastAsia="zh-CN"/>
              </w:rPr>
              <w:t>2023年5月10日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2020年5月5日-6日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highlight w:val="green"/>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 xml:space="preserve"> 2020 </w:t>
      </w:r>
      <w:r>
        <w:rPr>
          <w:rFonts w:hint="eastAsia" w:ascii="宋体" w:hAnsi="宋体"/>
          <w:b/>
          <w:sz w:val="21"/>
          <w:szCs w:val="21"/>
          <w:highlight w:val="none"/>
        </w:rPr>
        <w:t>年</w:t>
      </w:r>
      <w:r>
        <w:rPr>
          <w:rFonts w:hint="eastAsia" w:ascii="宋体" w:hAnsi="宋体"/>
          <w:b/>
          <w:sz w:val="21"/>
          <w:szCs w:val="21"/>
          <w:highlight w:val="none"/>
          <w:lang w:val="en-US" w:eastAsia="zh-CN"/>
        </w:rPr>
        <w:t>5</w:t>
      </w:r>
      <w:r>
        <w:rPr>
          <w:rFonts w:hint="eastAsia" w:ascii="宋体" w:hAnsi="宋体"/>
          <w:b/>
          <w:sz w:val="21"/>
          <w:szCs w:val="21"/>
          <w:highlight w:val="none"/>
        </w:rPr>
        <w:t>月</w:t>
      </w:r>
      <w:r>
        <w:rPr>
          <w:rFonts w:hint="eastAsia" w:ascii="宋体" w:hAnsi="宋体"/>
          <w:b/>
          <w:sz w:val="21"/>
          <w:szCs w:val="21"/>
          <w:highlight w:val="none"/>
          <w:lang w:val="en-US" w:eastAsia="zh-CN"/>
        </w:rPr>
        <w:t>6</w:t>
      </w:r>
      <w:r>
        <w:rPr>
          <w:rFonts w:hint="eastAsia" w:ascii="宋体" w:hAnsi="宋体"/>
          <w:b/>
          <w:sz w:val="21"/>
          <w:szCs w:val="21"/>
          <w:highlight w:val="none"/>
        </w:rPr>
        <w:t>日至</w:t>
      </w:r>
      <w:r>
        <w:rPr>
          <w:rFonts w:hint="eastAsia" w:ascii="宋体" w:hAnsi="宋体"/>
          <w:b/>
          <w:sz w:val="21"/>
          <w:szCs w:val="21"/>
          <w:highlight w:val="none"/>
          <w:lang w:val="en-US" w:eastAsia="zh-CN"/>
        </w:rPr>
        <w:t>2021</w:t>
      </w:r>
      <w:r>
        <w:rPr>
          <w:rFonts w:hint="eastAsia" w:ascii="宋体" w:hAnsi="宋体"/>
          <w:b/>
          <w:sz w:val="21"/>
          <w:szCs w:val="21"/>
          <w:highlight w:val="none"/>
        </w:rPr>
        <w:t>年</w:t>
      </w:r>
      <w:r>
        <w:rPr>
          <w:rFonts w:hint="eastAsia" w:ascii="宋体" w:hAnsi="宋体"/>
          <w:b/>
          <w:sz w:val="21"/>
          <w:szCs w:val="21"/>
          <w:highlight w:val="none"/>
          <w:lang w:val="en-US" w:eastAsia="zh-CN"/>
        </w:rPr>
        <w:t>4</w:t>
      </w:r>
      <w:r>
        <w:rPr>
          <w:rFonts w:hint="eastAsia" w:ascii="宋体" w:hAnsi="宋体"/>
          <w:b/>
          <w:sz w:val="21"/>
          <w:szCs w:val="21"/>
          <w:highlight w:val="none"/>
        </w:rPr>
        <w:t>月</w:t>
      </w:r>
      <w:r>
        <w:rPr>
          <w:rFonts w:hint="eastAsia" w:ascii="宋体" w:hAnsi="宋体"/>
          <w:b/>
          <w:sz w:val="21"/>
          <w:szCs w:val="21"/>
          <w:highlight w:val="none"/>
          <w:lang w:val="en-US" w:eastAsia="zh-CN"/>
        </w:rPr>
        <w:t>19</w:t>
      </w:r>
      <w:r>
        <w:rPr>
          <w:rFonts w:hint="eastAsia" w:ascii="宋体" w:hAnsi="宋体"/>
          <w:b/>
          <w:sz w:val="21"/>
          <w:szCs w:val="21"/>
          <w:highlight w:val="non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right="113"/>
              <w:jc w:val="both"/>
              <w:rPr>
                <w:rFonts w:ascii="宋体" w:hAnsi="宋体"/>
                <w:b/>
                <w:color w:val="000000" w:themeColor="text1"/>
                <w:sz w:val="21"/>
                <w:szCs w:val="21"/>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重庆恒瑞宏电力工程有限公司创建于201</w:t>
            </w:r>
            <w:r>
              <w:rPr>
                <w:rFonts w:hint="eastAsia" w:ascii="宋体" w:hAnsi="宋体" w:eastAsia="宋体" w:cs="Times New Roman"/>
                <w:sz w:val="21"/>
                <w:szCs w:val="21"/>
                <w:highlight w:val="none"/>
                <w:lang w:val="en-US" w:eastAsia="zh-CN"/>
              </w:rPr>
              <w:t>8</w:t>
            </w:r>
            <w:r>
              <w:rPr>
                <w:rFonts w:hint="eastAsia" w:ascii="宋体" w:hAnsi="宋体" w:eastAsia="宋体" w:cs="Times New Roman"/>
                <w:sz w:val="21"/>
                <w:szCs w:val="21"/>
                <w:highlight w:val="none"/>
              </w:rPr>
              <w:t>年</w:t>
            </w:r>
            <w:r>
              <w:rPr>
                <w:rFonts w:hint="eastAsia" w:ascii="宋体" w:hAnsi="宋体" w:eastAsia="宋体" w:cs="Times New Roman"/>
                <w:sz w:val="21"/>
                <w:szCs w:val="21"/>
                <w:highlight w:val="none"/>
                <w:lang w:val="en-US" w:eastAsia="zh-CN"/>
              </w:rPr>
              <w:t>8</w:t>
            </w:r>
            <w:r>
              <w:rPr>
                <w:rFonts w:hint="eastAsia" w:ascii="宋体" w:hAnsi="宋体" w:eastAsia="宋体" w:cs="Times New Roman"/>
                <w:sz w:val="21"/>
                <w:szCs w:val="21"/>
                <w:highlight w:val="none"/>
              </w:rPr>
              <w:t>月</w:t>
            </w:r>
            <w:r>
              <w:rPr>
                <w:rFonts w:hint="eastAsia" w:ascii="宋体" w:hAnsi="宋体" w:eastAsia="宋体" w:cs="Times New Roman"/>
                <w:sz w:val="21"/>
                <w:szCs w:val="21"/>
                <w:highlight w:val="none"/>
                <w:lang w:val="en-US" w:eastAsia="zh-CN"/>
              </w:rPr>
              <w:t>30</w:t>
            </w:r>
            <w:r>
              <w:rPr>
                <w:rFonts w:hint="eastAsia" w:ascii="宋体" w:hAnsi="宋体" w:eastAsia="宋体" w:cs="Times New Roman"/>
                <w:sz w:val="21"/>
                <w:szCs w:val="21"/>
                <w:highlight w:val="none"/>
              </w:rPr>
              <w:t>日，是一家专业从事高低压成套设备、五金交电、电线电缆、电气设备的销售公司。现有员工</w:t>
            </w:r>
            <w:r>
              <w:rPr>
                <w:rFonts w:hint="eastAsia" w:ascii="宋体" w:hAnsi="宋体" w:eastAsia="宋体" w:cs="Times New Roman"/>
                <w:sz w:val="21"/>
                <w:szCs w:val="21"/>
                <w:highlight w:val="none"/>
                <w:lang w:val="en-US" w:eastAsia="zh-CN"/>
              </w:rPr>
              <w:t>25</w:t>
            </w:r>
            <w:r>
              <w:rPr>
                <w:rFonts w:hint="eastAsia" w:ascii="宋体" w:hAnsi="宋体" w:eastAsia="宋体" w:cs="Times New Roman"/>
                <w:sz w:val="21"/>
                <w:szCs w:val="21"/>
                <w:highlight w:val="none"/>
              </w:rPr>
              <w:t>人，目前经营情况良好。</w:t>
            </w:r>
          </w:p>
          <w:p>
            <w:pPr>
              <w:spacing w:line="240" w:lineRule="exact"/>
              <w:rPr>
                <w:b/>
                <w:color w:val="000000" w:themeColor="text1"/>
                <w:sz w:val="21"/>
                <w:szCs w:val="21"/>
              </w:rPr>
            </w:pPr>
            <w:r>
              <w:rPr>
                <w:rFonts w:hint="eastAsia" w:ascii="宋体" w:hAnsi="宋体"/>
                <w:sz w:val="21"/>
                <w:szCs w:val="21"/>
                <w:highlight w:val="none"/>
              </w:rPr>
              <w:t>组织对内外部因素、相关方需求和期望进行了充分的识别，策划和实施有效。确定了体系的边界，基本适用。管理体系8.3不适用，理由合理。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rPr>
                <w:b/>
                <w:color w:val="000000" w:themeColor="text1"/>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80" w:lineRule="exact"/>
              <w:rPr>
                <w:sz w:val="21"/>
                <w:szCs w:val="21"/>
              </w:rPr>
            </w:pPr>
            <w:r>
              <w:rPr>
                <w:sz w:val="21"/>
                <w:szCs w:val="21"/>
              </w:rPr>
              <w:t>3.</w:t>
            </w:r>
            <w:r>
              <w:rPr>
                <w:rFonts w:hint="eastAsia"/>
                <w:sz w:val="21"/>
                <w:szCs w:val="21"/>
              </w:rPr>
              <w:t>■质量/■环境/■职业健康安全方针（组织方针的适宜性/持续适宜性、方针的传达及职工的理解等）</w:t>
            </w:r>
          </w:p>
          <w:p>
            <w:pPr>
              <w:spacing w:line="400" w:lineRule="exact"/>
              <w:ind w:firstLine="482"/>
              <w:rPr>
                <w:sz w:val="21"/>
                <w:szCs w:val="21"/>
              </w:rPr>
            </w:pPr>
            <w:r>
              <w:rPr>
                <w:rFonts w:hint="eastAsia"/>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sz w:val="21"/>
                <w:szCs w:val="21"/>
              </w:rPr>
              <w:t>质量、环境、职业健康安全方针：</w:t>
            </w:r>
            <w:r>
              <w:rPr>
                <w:rFonts w:hint="eastAsia" w:asciiTheme="minorEastAsia" w:hAnsiTheme="minorEastAsia" w:eastAsiaTheme="minorEastAsia" w:cstheme="minorEastAsia"/>
                <w:b w:val="0"/>
                <w:bCs w:val="0"/>
                <w:sz w:val="21"/>
                <w:szCs w:val="21"/>
              </w:rPr>
              <w:t>“质量为本、满意服务；污染预防、全员环保；安全为天、珍爱生命；遵纪守法、持续改进”。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color w:val="000000" w:themeColor="text1"/>
                <w:sz w:val="21"/>
                <w:szCs w:val="21"/>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质量管理体系过程有：合同评审、采购、交付过程等。</w:t>
            </w:r>
          </w:p>
          <w:p>
            <w:pPr>
              <w:tabs>
                <w:tab w:val="left" w:pos="540"/>
              </w:tabs>
              <w:spacing w:line="300" w:lineRule="exact"/>
              <w:ind w:left="201" w:hanging="211" w:hangingChars="100"/>
              <w:rPr>
                <w:rFonts w:ascii="宋体" w:hAnsi="宋体"/>
                <w:b/>
                <w:color w:val="000000" w:themeColor="text1"/>
                <w:sz w:val="21"/>
                <w:szCs w:val="21"/>
              </w:rPr>
            </w:pPr>
            <w:r>
              <w:rPr>
                <w:rFonts w:hint="eastAsia" w:ascii="宋体" w:hAnsi="宋体"/>
                <w:b/>
                <w:color w:val="000000" w:themeColor="text1"/>
                <w:sz w:val="21"/>
                <w:szCs w:val="21"/>
              </w:rPr>
              <w:t>其中关键过程有：销售</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 xml:space="preserve">需要确认过程： 销售服务过程 </w:t>
            </w:r>
          </w:p>
          <w:p>
            <w:pPr>
              <w:tabs>
                <w:tab w:val="left" w:pos="1080"/>
              </w:tabs>
              <w:spacing w:line="400" w:lineRule="exact"/>
              <w:rPr>
                <w:rFonts w:ascii="宋体" w:hAnsi="宋体"/>
                <w:sz w:val="21"/>
                <w:szCs w:val="21"/>
                <w:u w:val="single"/>
              </w:rPr>
            </w:pPr>
            <w:r>
              <w:rPr>
                <w:rFonts w:hint="eastAsia" w:ascii="宋体" w:hAnsi="宋体"/>
                <w:b/>
                <w:color w:val="000000" w:themeColor="text1"/>
                <w:sz w:val="21"/>
                <w:szCs w:val="21"/>
              </w:rPr>
              <w:t>不适用条款是</w:t>
            </w:r>
            <w:r>
              <w:rPr>
                <w:rFonts w:hint="eastAsia" w:ascii="宋体" w:hAnsi="宋体"/>
                <w:b/>
                <w:color w:val="000000" w:themeColor="text1"/>
                <w:sz w:val="21"/>
                <w:szCs w:val="21"/>
                <w:u w:val="single"/>
              </w:rPr>
              <w:t>8.3</w:t>
            </w:r>
            <w:r>
              <w:rPr>
                <w:rFonts w:hint="eastAsia" w:ascii="宋体" w:hAnsi="宋体"/>
                <w:b/>
                <w:color w:val="000000" w:themeColor="text1"/>
                <w:sz w:val="21"/>
                <w:szCs w:val="21"/>
              </w:rPr>
              <w:t xml:space="preserve"> ，不适用理由：</w:t>
            </w:r>
            <w:r>
              <w:rPr>
                <w:rFonts w:hint="eastAsia" w:ascii="宋体" w:hAnsi="宋体" w:cs="宋体"/>
                <w:sz w:val="21"/>
                <w:szCs w:val="21"/>
                <w:u w:val="single"/>
              </w:rPr>
              <w:t>由于公司销售的产品是顾客的要求进行进行服务，不承担设计责任，且销售服务成熟经营模式</w:t>
            </w:r>
            <w:r>
              <w:rPr>
                <w:rFonts w:hint="eastAsia" w:ascii="宋体" w:hAnsi="宋体" w:cs="宋体"/>
                <w:bCs/>
                <w:sz w:val="21"/>
                <w:szCs w:val="21"/>
                <w:u w:val="single"/>
              </w:rPr>
              <w:t>，</w:t>
            </w:r>
            <w:r>
              <w:rPr>
                <w:rFonts w:hint="eastAsia" w:ascii="宋体" w:hAnsi="宋体" w:cs="宋体"/>
                <w:sz w:val="21"/>
                <w:szCs w:val="21"/>
                <w:u w:val="single"/>
              </w:rPr>
              <w:t>所以GB/T19001-2016标准8.3条款不适用</w:t>
            </w:r>
          </w:p>
          <w:p>
            <w:pPr>
              <w:tabs>
                <w:tab w:val="left" w:pos="540"/>
                <w:tab w:val="right" w:pos="8781"/>
              </w:tabs>
              <w:spacing w:line="300" w:lineRule="exact"/>
              <w:ind w:left="211" w:hanging="211" w:hangingChars="100"/>
              <w:rPr>
                <w:rFonts w:ascii="宋体" w:hAnsi="宋体"/>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5" w:firstLineChars="150"/>
              <w:rPr>
                <w:rFonts w:asciiTheme="minorEastAsia" w:hAnsiTheme="minorEastAsia" w:eastAsiaTheme="minorEastAsia"/>
                <w:b/>
                <w:color w:val="000000" w:themeColor="text1"/>
                <w:sz w:val="21"/>
                <w:szCs w:val="21"/>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排放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420" w:firstLineChars="200"/>
              <w:rPr>
                <w:rFonts w:ascii="宋体" w:hAnsi="宋体"/>
                <w:b/>
                <w:color w:val="000000" w:themeColor="text1"/>
                <w:spacing w:val="-8"/>
                <w:sz w:val="21"/>
                <w:szCs w:val="21"/>
              </w:rPr>
            </w:pPr>
            <w:r>
              <w:rPr>
                <w:rFonts w:hint="eastAsia" w:ascii="宋体" w:hAnsi="宋体"/>
                <w:color w:val="000000" w:themeColor="text1"/>
                <w:sz w:val="21"/>
                <w:szCs w:val="21"/>
              </w:rPr>
              <w:t>组织建立了危险源识别、评价控制程序，识别评价了危险源、风险相关的过程，评价出了重要危险源（</w:t>
            </w:r>
            <w:r>
              <w:rPr>
                <w:rFonts w:hint="eastAsia" w:ascii="宋体" w:hAnsi="宋体"/>
                <w:sz w:val="21"/>
                <w:szCs w:val="21"/>
              </w:rPr>
              <w:t>火灾、人身伤害）</w:t>
            </w:r>
            <w:r>
              <w:rPr>
                <w:rFonts w:hint="eastAsia" w:ascii="宋体" w:hAnsi="宋体"/>
                <w:color w:val="000000" w:themeColor="text1"/>
                <w:sz w:val="21"/>
                <w:szCs w:val="21"/>
              </w:rPr>
              <w:t>，与之相关的过程有采购、验收、销售过程，针对重要危险源制定了管理方案。控制措施实施有效。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pacing w:val="-4"/>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tabs>
                <w:tab w:val="left" w:pos="540"/>
              </w:tabs>
              <w:spacing w:line="300" w:lineRule="exact"/>
              <w:ind w:left="211" w:hanging="211" w:hangingChars="100"/>
              <w:rPr>
                <w:rFonts w:ascii="宋体" w:hAnsi="宋体"/>
                <w:b/>
                <w:color w:val="000000" w:themeColor="text1"/>
                <w:sz w:val="21"/>
                <w:szCs w:val="21"/>
              </w:rPr>
            </w:pPr>
          </w:p>
          <w:p>
            <w:pPr>
              <w:pStyle w:val="12"/>
              <w:numPr>
                <w:ilvl w:val="0"/>
                <w:numId w:val="1"/>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2"/>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2"/>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2"/>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p>
          <w:p>
            <w:pPr>
              <w:tabs>
                <w:tab w:val="left" w:pos="0"/>
              </w:tabs>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管理目标、指标的实现情况：（考核时间：20</w:t>
            </w:r>
            <w:r>
              <w:rPr>
                <w:rFonts w:hint="eastAsia" w:ascii="宋体" w:hAnsi="宋体" w:cs="宋体"/>
                <w:color w:val="000000"/>
                <w:kern w:val="0"/>
                <w:sz w:val="21"/>
                <w:szCs w:val="21"/>
                <w:highlight w:val="none"/>
                <w:lang w:val="en-US" w:eastAsia="zh-CN"/>
              </w:rPr>
              <w:t>21</w:t>
            </w:r>
            <w:r>
              <w:rPr>
                <w:rFonts w:hint="eastAsia" w:ascii="宋体" w:hAnsi="宋体" w:cs="宋体"/>
                <w:color w:val="000000"/>
                <w:kern w:val="0"/>
                <w:sz w:val="21"/>
                <w:szCs w:val="21"/>
                <w:highlight w:val="none"/>
              </w:rPr>
              <w:t>年</w:t>
            </w:r>
            <w:r>
              <w:rPr>
                <w:rFonts w:hint="eastAsia" w:ascii="宋体" w:hAnsi="宋体" w:cs="宋体"/>
                <w:color w:val="000000"/>
                <w:kern w:val="0"/>
                <w:sz w:val="21"/>
                <w:szCs w:val="21"/>
                <w:highlight w:val="none"/>
                <w:lang w:val="en-US" w:eastAsia="zh-CN"/>
              </w:rPr>
              <w:t>1</w:t>
            </w:r>
            <w:r>
              <w:rPr>
                <w:rFonts w:hint="eastAsia" w:ascii="宋体" w:hAnsi="宋体" w:cs="宋体"/>
                <w:color w:val="000000"/>
                <w:kern w:val="0"/>
                <w:sz w:val="21"/>
                <w:szCs w:val="21"/>
                <w:highlight w:val="none"/>
              </w:rPr>
              <w:t>月-202</w:t>
            </w:r>
            <w:r>
              <w:rPr>
                <w:rFonts w:hint="eastAsia" w:ascii="宋体" w:hAnsi="宋体" w:cs="宋体"/>
                <w:color w:val="000000"/>
                <w:kern w:val="0"/>
                <w:sz w:val="21"/>
                <w:szCs w:val="21"/>
                <w:highlight w:val="none"/>
                <w:lang w:val="en-US" w:eastAsia="zh-CN"/>
              </w:rPr>
              <w:t>1</w:t>
            </w:r>
            <w:r>
              <w:rPr>
                <w:rFonts w:hint="eastAsia" w:ascii="宋体" w:hAnsi="宋体" w:cs="宋体"/>
                <w:color w:val="000000"/>
                <w:kern w:val="0"/>
                <w:sz w:val="21"/>
                <w:szCs w:val="21"/>
                <w:highlight w:val="none"/>
              </w:rPr>
              <w:t>年</w:t>
            </w:r>
            <w:r>
              <w:rPr>
                <w:rFonts w:hint="eastAsia" w:ascii="宋体" w:hAnsi="宋体" w:cs="宋体"/>
                <w:color w:val="000000"/>
                <w:kern w:val="0"/>
                <w:sz w:val="21"/>
                <w:szCs w:val="21"/>
                <w:highlight w:val="none"/>
                <w:lang w:val="en-US" w:eastAsia="zh-CN"/>
              </w:rPr>
              <w:t>3</w:t>
            </w:r>
            <w:r>
              <w:rPr>
                <w:rFonts w:hint="eastAsia" w:ascii="宋体" w:hAnsi="宋体" w:cs="宋体"/>
                <w:color w:val="000000"/>
                <w:kern w:val="0"/>
                <w:sz w:val="21"/>
                <w:szCs w:val="21"/>
                <w:highlight w:val="none"/>
              </w:rPr>
              <w:t>月）</w:t>
            </w:r>
          </w:p>
          <w:p>
            <w:pPr>
              <w:numPr>
                <w:ilvl w:val="0"/>
                <w:numId w:val="2"/>
              </w:numPr>
              <w:snapToGrid w:val="0"/>
              <w:spacing w:line="420" w:lineRule="exact"/>
              <w:ind w:firstLine="420" w:firstLineChars="200"/>
              <w:rPr>
                <w:rFonts w:ascii="宋体" w:hAnsi="宋体" w:cs="宋体"/>
                <w:color w:val="000000"/>
                <w:sz w:val="21"/>
                <w:szCs w:val="21"/>
                <w:highlight w:val="none"/>
              </w:rPr>
            </w:pPr>
            <w:r>
              <w:rPr>
                <w:rFonts w:hint="eastAsia" w:ascii="宋体" w:hAnsi="宋体"/>
                <w:color w:val="000000"/>
                <w:sz w:val="21"/>
                <w:szCs w:val="21"/>
                <w:highlight w:val="none"/>
              </w:rPr>
              <w:t>顾客满意率≥</w:t>
            </w:r>
            <w:r>
              <w:rPr>
                <w:rFonts w:ascii="仿宋_GB2312" w:eastAsia="仿宋_GB2312"/>
                <w:color w:val="000000"/>
                <w:sz w:val="21"/>
                <w:szCs w:val="21"/>
                <w:highlight w:val="none"/>
              </w:rPr>
              <w:t>9</w:t>
            </w:r>
            <w:r>
              <w:rPr>
                <w:rFonts w:hint="eastAsia" w:ascii="仿宋_GB2312" w:eastAsia="仿宋_GB2312"/>
                <w:color w:val="000000"/>
                <w:sz w:val="21"/>
                <w:szCs w:val="21"/>
                <w:highlight w:val="none"/>
              </w:rPr>
              <w:t>0分</w:t>
            </w:r>
            <w:r>
              <w:rPr>
                <w:rFonts w:hint="eastAsia" w:ascii="宋体" w:hAnsi="宋体" w:eastAsia="仿宋_GB2312" w:cs="宋体"/>
                <w:color w:val="000000"/>
                <w:sz w:val="21"/>
                <w:szCs w:val="21"/>
                <w:highlight w:val="none"/>
                <w:lang w:eastAsia="zh-CN"/>
              </w:rPr>
              <w:t>；</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val="en-US" w:eastAsia="zh-CN"/>
              </w:rPr>
              <w:t xml:space="preserve">     </w:t>
            </w:r>
            <w:r>
              <w:rPr>
                <w:rFonts w:hint="eastAsia" w:ascii="宋体" w:hAnsi="宋体" w:cs="宋体"/>
                <w:color w:val="000000"/>
                <w:sz w:val="21"/>
                <w:szCs w:val="21"/>
                <w:highlight w:val="none"/>
              </w:rPr>
              <w:t>实测</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96</w:t>
            </w:r>
            <w:r>
              <w:rPr>
                <w:rFonts w:hint="eastAsia" w:ascii="宋体" w:hAnsi="宋体" w:cs="宋体"/>
                <w:color w:val="000000"/>
                <w:sz w:val="21"/>
                <w:szCs w:val="21"/>
                <w:highlight w:val="none"/>
              </w:rPr>
              <w:t>分</w:t>
            </w:r>
          </w:p>
          <w:p>
            <w:pPr>
              <w:numPr>
                <w:ilvl w:val="0"/>
                <w:numId w:val="2"/>
              </w:numPr>
              <w:snapToGrid w:val="0"/>
              <w:spacing w:line="42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产品</w:t>
            </w:r>
            <w:r>
              <w:rPr>
                <w:rFonts w:hint="eastAsia" w:ascii="宋体" w:hAnsi="宋体" w:cs="宋体"/>
                <w:color w:val="000000"/>
                <w:sz w:val="21"/>
                <w:szCs w:val="21"/>
                <w:highlight w:val="none"/>
                <w:lang w:eastAsia="zh-CN"/>
              </w:rPr>
              <w:t>交付</w:t>
            </w:r>
            <w:r>
              <w:rPr>
                <w:rFonts w:hint="eastAsia" w:ascii="宋体" w:hAnsi="宋体" w:cs="宋体"/>
                <w:color w:val="000000"/>
                <w:sz w:val="21"/>
                <w:szCs w:val="21"/>
                <w:highlight w:val="none"/>
              </w:rPr>
              <w:t>合格率</w:t>
            </w:r>
            <w:r>
              <w:rPr>
                <w:rFonts w:hint="eastAsia" w:ascii="宋体" w:hAnsi="宋体" w:cs="宋体"/>
                <w:color w:val="000000"/>
                <w:sz w:val="21"/>
                <w:szCs w:val="21"/>
                <w:highlight w:val="none"/>
                <w:lang w:val="en-US" w:eastAsia="zh-CN"/>
              </w:rPr>
              <w:t>100</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lang w:val="en-US" w:eastAsia="zh-CN"/>
              </w:rPr>
              <w:t xml:space="preserve">      </w:t>
            </w:r>
            <w:r>
              <w:rPr>
                <w:rFonts w:hint="eastAsia" w:ascii="宋体" w:hAnsi="宋体" w:cs="宋体"/>
                <w:color w:val="000000"/>
                <w:sz w:val="21"/>
                <w:szCs w:val="21"/>
                <w:highlight w:val="none"/>
              </w:rPr>
              <w:t>实测</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100</w:t>
            </w:r>
            <w:r>
              <w:rPr>
                <w:rFonts w:hint="eastAsia" w:ascii="宋体" w:hAnsi="宋体" w:cs="宋体"/>
                <w:color w:val="000000"/>
                <w:sz w:val="21"/>
                <w:szCs w:val="21"/>
                <w:highlight w:val="none"/>
              </w:rPr>
              <w:t>%</w:t>
            </w:r>
          </w:p>
          <w:p>
            <w:pPr>
              <w:numPr>
                <w:ilvl w:val="0"/>
                <w:numId w:val="2"/>
              </w:numPr>
              <w:snapToGrid w:val="0"/>
              <w:spacing w:line="420" w:lineRule="exact"/>
              <w:ind w:firstLine="420" w:firstLineChars="200"/>
              <w:rPr>
                <w:rFonts w:ascii="宋体" w:hAnsi="宋体" w:cs="宋体"/>
                <w:color w:val="000000"/>
                <w:sz w:val="21"/>
                <w:szCs w:val="21"/>
                <w:highlight w:val="none"/>
              </w:rPr>
            </w:pPr>
            <w:r>
              <w:rPr>
                <w:rFonts w:hint="eastAsia" w:ascii="宋体" w:hAnsi="宋体"/>
                <w:color w:val="000000"/>
                <w:sz w:val="21"/>
                <w:szCs w:val="21"/>
                <w:highlight w:val="none"/>
              </w:rPr>
              <w:t>固体废弃物100</w:t>
            </w:r>
            <w:r>
              <w:rPr>
                <w:rFonts w:hint="eastAsia" w:ascii="宋体" w:hAnsi="宋体"/>
                <w:color w:val="000000"/>
                <w:sz w:val="21"/>
                <w:szCs w:val="21"/>
                <w:highlight w:val="none"/>
                <w:lang w:val="en-US" w:eastAsia="zh-CN"/>
              </w:rPr>
              <w:t>%合规</w:t>
            </w:r>
            <w:r>
              <w:rPr>
                <w:rFonts w:hint="eastAsia" w:ascii="宋体" w:hAnsi="宋体"/>
                <w:color w:val="000000"/>
                <w:sz w:val="21"/>
                <w:szCs w:val="21"/>
                <w:highlight w:val="none"/>
              </w:rPr>
              <w:t>处理</w:t>
            </w:r>
            <w:r>
              <w:rPr>
                <w:rFonts w:hint="eastAsia" w:ascii="宋体" w:hAnsi="宋体" w:cs="宋体"/>
                <w:color w:val="000000"/>
                <w:sz w:val="21"/>
                <w:szCs w:val="21"/>
                <w:highlight w:val="none"/>
              </w:rPr>
              <w:t>；    实测</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100%</w:t>
            </w:r>
          </w:p>
          <w:p>
            <w:pPr>
              <w:snapToGrid w:val="0"/>
              <w:spacing w:line="42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4）</w:t>
            </w:r>
            <w:r>
              <w:rPr>
                <w:rFonts w:hint="eastAsia" w:ascii="宋体" w:hAnsi="宋体"/>
                <w:color w:val="000000"/>
                <w:sz w:val="21"/>
                <w:szCs w:val="21"/>
                <w:highlight w:val="none"/>
              </w:rPr>
              <w:t>火灾事故为0</w:t>
            </w:r>
            <w:r>
              <w:rPr>
                <w:rFonts w:hint="eastAsia" w:ascii="宋体" w:hAnsi="宋体" w:cs="宋体"/>
                <w:color w:val="000000"/>
                <w:sz w:val="21"/>
                <w:szCs w:val="21"/>
                <w:highlight w:val="none"/>
              </w:rPr>
              <w:t>；               实测：0</w:t>
            </w:r>
          </w:p>
          <w:p>
            <w:pPr>
              <w:pStyle w:val="14"/>
              <w:ind w:firstLine="460" w:firstLineChars="200"/>
              <w:rPr>
                <w:rFonts w:ascii="宋体" w:hAnsi="宋体" w:cs="宋体"/>
                <w:sz w:val="21"/>
                <w:szCs w:val="21"/>
                <w:highlight w:val="none"/>
              </w:rPr>
            </w:pPr>
            <w:r>
              <w:rPr>
                <w:rFonts w:hint="eastAsia" w:ascii="宋体" w:hAnsi="宋体" w:cs="宋体"/>
                <w:color w:val="000000"/>
                <w:sz w:val="21"/>
                <w:szCs w:val="21"/>
                <w:highlight w:val="none"/>
              </w:rPr>
              <w:t>5）</w:t>
            </w:r>
            <w:r>
              <w:rPr>
                <w:rFonts w:hint="eastAsia" w:ascii="宋体" w:hAnsi="宋体"/>
                <w:color w:val="000000"/>
                <w:sz w:val="21"/>
                <w:szCs w:val="21"/>
                <w:highlight w:val="none"/>
              </w:rPr>
              <w:t>重伤事故为零</w:t>
            </w:r>
            <w:r>
              <w:rPr>
                <w:rFonts w:hint="eastAsia" w:ascii="宋体" w:hAnsi="宋体" w:cs="宋体"/>
                <w:color w:val="000000"/>
                <w:sz w:val="21"/>
                <w:szCs w:val="21"/>
                <w:highlight w:val="none"/>
              </w:rPr>
              <w:t>。           实测：0</w:t>
            </w:r>
          </w:p>
          <w:p>
            <w:pPr>
              <w:rPr>
                <w:rFonts w:ascii="宋体" w:hAnsi="宋体"/>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rPr>
                <w:rFonts w:ascii="宋体" w:hAnsi="宋体"/>
                <w:b/>
                <w:color w:val="000000" w:themeColor="text1"/>
                <w:sz w:val="21"/>
                <w:szCs w:val="21"/>
              </w:rPr>
            </w:pPr>
            <w:r>
              <w:rPr>
                <w:rFonts w:hint="eastAsia" w:ascii="宋体" w:hAnsi="宋体" w:cs="宋体"/>
                <w:color w:val="000000" w:themeColor="text1"/>
                <w:sz w:val="21"/>
                <w:szCs w:val="21"/>
              </w:rPr>
              <w:t>公司按照申请认证的标准要求，建立并形成了文件化的质量、</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 xml:space="preserve">2019 </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9</w:t>
            </w:r>
            <w:r>
              <w:rPr>
                <w:rFonts w:hint="eastAsia" w:ascii="宋体" w:hAnsi="宋体" w:cs="宋体"/>
                <w:color w:val="000000" w:themeColor="text1"/>
                <w:sz w:val="21"/>
                <w:szCs w:val="21"/>
              </w:rPr>
              <w:t>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高低压成套设备、五金交电、电线电缆、电气设备的销售的</w:t>
            </w:r>
            <w:r>
              <w:rPr>
                <w:rFonts w:hint="eastAsia" w:ascii="宋体" w:hAnsi="宋体"/>
                <w:bCs/>
                <w:iCs/>
                <w:sz w:val="21"/>
                <w:szCs w:val="21"/>
              </w:rPr>
              <w:t>运行环境，可以维持管理体系的正常运行。</w:t>
            </w:r>
          </w:p>
          <w:p>
            <w:pPr>
              <w:spacing w:line="300" w:lineRule="exact"/>
              <w:rPr>
                <w:rFonts w:ascii="宋体" w:hAnsi="宋体"/>
                <w:b/>
                <w:color w:val="000000" w:themeColor="text1"/>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rPr>
                <w:rFonts w:ascii="宋体" w:hAnsi="宋体"/>
                <w:b/>
                <w:color w:val="000000" w:themeColor="text1"/>
                <w:sz w:val="21"/>
                <w:szCs w:val="21"/>
              </w:rPr>
            </w:pPr>
            <w:r>
              <w:rPr>
                <w:rFonts w:hint="eastAsia" w:ascii="宋体" w:hAnsi="宋体"/>
                <w:sz w:val="21"/>
                <w:szCs w:val="21"/>
                <w:highlight w:val="none"/>
              </w:rPr>
              <w:t>公司拥有办公面积</w:t>
            </w:r>
            <w:r>
              <w:rPr>
                <w:rFonts w:hint="eastAsia" w:ascii="宋体" w:hAnsi="宋体"/>
                <w:sz w:val="21"/>
                <w:szCs w:val="21"/>
                <w:highlight w:val="none"/>
                <w:lang w:val="en-US" w:eastAsia="zh-CN"/>
              </w:rPr>
              <w:t>400</w:t>
            </w:r>
            <w:r>
              <w:rPr>
                <w:rFonts w:hint="eastAsia" w:ascii="宋体" w:hAnsi="宋体"/>
                <w:sz w:val="21"/>
                <w:szCs w:val="21"/>
                <w:highlight w:val="none"/>
              </w:rPr>
              <w:t>平方米</w:t>
            </w:r>
            <w:r>
              <w:rPr>
                <w:rFonts w:hint="eastAsia" w:ascii="宋体" w:hAnsi="宋体" w:cs="宋体"/>
                <w:sz w:val="21"/>
                <w:szCs w:val="21"/>
                <w:highlight w:val="none"/>
              </w:rPr>
              <w:t>，设有面积</w:t>
            </w:r>
            <w:r>
              <w:rPr>
                <w:rFonts w:hint="eastAsia" w:ascii="宋体" w:hAnsi="宋体" w:cs="宋体"/>
                <w:sz w:val="21"/>
                <w:szCs w:val="21"/>
                <w:highlight w:val="none"/>
                <w:lang w:val="en-US" w:eastAsia="zh-CN"/>
              </w:rPr>
              <w:t>200</w:t>
            </w:r>
            <w:r>
              <w:rPr>
                <w:rFonts w:hint="eastAsia" w:ascii="宋体" w:hAnsi="宋体" w:cs="宋体"/>
                <w:sz w:val="21"/>
                <w:szCs w:val="21"/>
                <w:highlight w:val="none"/>
              </w:rPr>
              <w:t>平方米的库房，主要设备为电脑及办公设备等，可以满足</w:t>
            </w:r>
            <w:r>
              <w:rPr>
                <w:rFonts w:hint="eastAsia" w:ascii="宋体" w:hAnsi="宋体"/>
                <w:sz w:val="21"/>
                <w:szCs w:val="21"/>
                <w:highlight w:val="none"/>
              </w:rPr>
              <w:t>高低压成套设备、五金交电、电线电缆、电气设备的销售的</w:t>
            </w:r>
            <w:r>
              <w:rPr>
                <w:rFonts w:hint="eastAsia" w:ascii="宋体" w:hAnsi="宋体" w:cs="宋体"/>
                <w:sz w:val="21"/>
                <w:szCs w:val="21"/>
                <w:highlight w:val="none"/>
              </w:rPr>
              <w:t>需要。特种设备：</w:t>
            </w:r>
            <w:r>
              <w:rPr>
                <w:rFonts w:hint="eastAsia" w:ascii="宋体" w:hAnsi="宋体" w:cs="宋体"/>
                <w:sz w:val="21"/>
                <w:szCs w:val="21"/>
                <w:highlight w:val="none"/>
                <w:lang w:eastAsia="zh-CN"/>
              </w:rPr>
              <w:t>无</w:t>
            </w:r>
            <w:r>
              <w:rPr>
                <w:rFonts w:hint="eastAsia" w:ascii="宋体" w:hAnsi="宋体" w:cs="宋体"/>
                <w:sz w:val="21"/>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rPr>
                <w:rFonts w:ascii="宋体" w:hAnsi="宋体"/>
                <w:b/>
                <w:color w:val="000000" w:themeColor="text1"/>
                <w:sz w:val="21"/>
                <w:szCs w:val="21"/>
              </w:rPr>
            </w:pPr>
            <w:r>
              <w:rPr>
                <w:rFonts w:hint="eastAsia" w:ascii="宋体" w:hAnsi="宋体" w:cs="宋体"/>
                <w:sz w:val="21"/>
                <w:szCs w:val="21"/>
              </w:rPr>
              <w:t>办公所场设备布置合理，通道畅通，照明设施齐全，均配备了消防设施等设施。办公室明亮，服务场所光线较充足。每月由</w:t>
            </w:r>
            <w:r>
              <w:rPr>
                <w:rFonts w:hint="eastAsia" w:ascii="宋体" w:hAnsi="宋体" w:cs="宋体"/>
                <w:sz w:val="21"/>
                <w:szCs w:val="21"/>
                <w:lang w:eastAsia="zh-CN"/>
              </w:rPr>
              <w:t>综合部</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sz w:val="21"/>
                <w:szCs w:val="21"/>
              </w:rPr>
            </w:pPr>
            <w:r>
              <w:rPr>
                <w:rFonts w:hint="eastAsia"/>
                <w:sz w:val="21"/>
                <w:szCs w:val="21"/>
              </w:rPr>
              <w:t>监视和测量资源</w:t>
            </w:r>
          </w:p>
          <w:p>
            <w:pPr>
              <w:spacing w:line="400" w:lineRule="exact"/>
              <w:rPr>
                <w:sz w:val="21"/>
                <w:szCs w:val="21"/>
              </w:rPr>
            </w:pPr>
            <w:r>
              <w:rPr>
                <w:rFonts w:hint="eastAsia"/>
                <w:sz w:val="21"/>
                <w:szCs w:val="21"/>
                <w:highlight w:val="none"/>
              </w:rPr>
              <w:t>暂未配置检测设备等，采取以供方出具的产品检测报告为验收依据，进行核验，最终产品质量由顾客确认</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ascii="宋体" w:hAnsi="宋体"/>
                <w:sz w:val="21"/>
                <w:szCs w:val="21"/>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sz w:val="21"/>
                <w:szCs w:val="21"/>
              </w:rPr>
            </w:pPr>
            <w:r>
              <w:rPr>
                <w:rFonts w:hint="eastAsia" w:ascii="宋体" w:hAnsi="宋体"/>
                <w:sz w:val="21"/>
                <w:szCs w:val="21"/>
              </w:rPr>
              <w:t>配电箱、灭火器等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(三)体系运行情况</w:t>
            </w:r>
          </w:p>
        </w:tc>
        <w:tc>
          <w:tcPr>
            <w:tcW w:w="9198" w:type="dxa"/>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rPr>
                <w:b/>
                <w:color w:val="000000" w:themeColor="text1"/>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r>
              <w:rPr>
                <w:rFonts w:hint="eastAsia" w:ascii="宋体" w:hAnsi="宋体" w:cs="宋体"/>
                <w:color w:val="000000"/>
                <w:sz w:val="21"/>
                <w:szCs w:val="21"/>
              </w:rPr>
              <w:t>对会议通知和规定等登记处理</w:t>
            </w:r>
          </w:p>
          <w:p>
            <w:pPr>
              <w:spacing w:line="240" w:lineRule="exact"/>
              <w:rPr>
                <w:rFonts w:ascii="楷体_GB2312" w:eastAsia="楷体_GB2312"/>
                <w:b/>
                <w:color w:val="000000" w:themeColor="text1"/>
                <w:sz w:val="21"/>
                <w:szCs w:val="21"/>
              </w:rPr>
            </w:pPr>
          </w:p>
          <w:p>
            <w:pPr>
              <w:spacing w:line="240" w:lineRule="exact"/>
              <w:rPr>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rPr>
                <w:b/>
                <w:color w:val="000000" w:themeColor="text1"/>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销售产品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b/>
                <w:color w:val="000000" w:themeColor="text1"/>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b/>
                <w:color w:val="000000" w:themeColor="text1"/>
                <w:sz w:val="21"/>
                <w:szCs w:val="21"/>
              </w:rPr>
            </w:pPr>
            <w:r>
              <w:rPr>
                <w:rFonts w:hint="eastAsia"/>
                <w:b/>
                <w:color w:val="000000" w:themeColor="text1"/>
                <w:sz w:val="21"/>
                <w:szCs w:val="21"/>
              </w:rPr>
              <w:t>无</w:t>
            </w:r>
          </w:p>
          <w:p>
            <w:pPr>
              <w:spacing w:line="300" w:lineRule="exact"/>
              <w:ind w:firstLine="207" w:firstLineChars="98"/>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rPr>
                <w:b/>
                <w:color w:val="000000" w:themeColor="text1"/>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1"/>
                <w:szCs w:val="21"/>
              </w:rPr>
            </w:pPr>
            <w:r>
              <w:rPr>
                <w:rFonts w:hint="eastAsia" w:asciiTheme="minorEastAsia" w:hAnsiTheme="minorEastAsia" w:eastAsiaTheme="minorEastAsia"/>
                <w:bCs/>
                <w:iCs/>
                <w:sz w:val="21"/>
                <w:szCs w:val="21"/>
              </w:rPr>
              <w:t>组织重要环境因素为</w:t>
            </w:r>
            <w:r>
              <w:rPr>
                <w:rFonts w:hint="eastAsia" w:ascii="宋体" w:hAnsi="宋体" w:cs="宋体"/>
                <w:sz w:val="21"/>
                <w:szCs w:val="21"/>
              </w:rPr>
              <w:t>固废排放、潜在火灾</w:t>
            </w:r>
            <w:r>
              <w:rPr>
                <w:rFonts w:hint="eastAsia" w:asciiTheme="minorEastAsia" w:hAnsiTheme="minorEastAsia" w:eastAsiaTheme="minorEastAsia"/>
                <w:bCs/>
                <w:iCs/>
                <w:sz w:val="21"/>
                <w:szCs w:val="21"/>
              </w:rPr>
              <w:t>，需要应对的风险和机遇相关的过程为维保服务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w:t>
            </w:r>
            <w:r>
              <w:rPr>
                <w:rFonts w:hint="eastAsia" w:ascii="宋体" w:hAnsi="宋体"/>
                <w:sz w:val="21"/>
                <w:szCs w:val="21"/>
              </w:rPr>
              <w:t>火灾、人身伤害等</w:t>
            </w:r>
            <w:r>
              <w:rPr>
                <w:rFonts w:hint="eastAsia" w:asciiTheme="minorEastAsia" w:hAnsiTheme="minorEastAsia" w:eastAsiaTheme="minorEastAsia"/>
                <w:bCs/>
                <w:iCs/>
                <w:sz w:val="21"/>
                <w:szCs w:val="21"/>
              </w:rPr>
              <w:t>重要危险源，与之相关的过程有服务、信息处理过程，针对不可接受风险制定了管理方案。控制措施实施有效。</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10. 对特种设备的维护; </w:t>
            </w:r>
            <w:r>
              <w:rPr>
                <w:rFonts w:hint="eastAsia"/>
                <w:b/>
                <w:sz w:val="21"/>
                <w:szCs w:val="21"/>
              </w:rPr>
              <w:t>（适用时）</w:t>
            </w:r>
          </w:p>
          <w:p>
            <w:pPr>
              <w:spacing w:line="240" w:lineRule="exact"/>
              <w:rPr>
                <w:b/>
                <w:color w:val="000000" w:themeColor="text1"/>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sz w:val="21"/>
                <w:szCs w:val="21"/>
              </w:rPr>
            </w:pPr>
            <w:r>
              <w:rPr>
                <w:rFonts w:hint="eastAsia"/>
                <w:b/>
                <w:color w:val="000000" w:themeColor="text1"/>
                <w:sz w:val="21"/>
                <w:szCs w:val="21"/>
              </w:rPr>
              <w:t>11 .对危险化学品销售、使用、储存、运输处置，规定的执行力度(必要时);</w:t>
            </w:r>
            <w:r>
              <w:rPr>
                <w:rFonts w:hint="eastAsia"/>
                <w:b/>
                <w:sz w:val="21"/>
                <w:szCs w:val="21"/>
              </w:rPr>
              <w:t>（适用时）</w:t>
            </w:r>
          </w:p>
          <w:p>
            <w:pPr>
              <w:spacing w:line="240" w:lineRule="exact"/>
              <w:rPr>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(四)监视测量方面</w:t>
            </w: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105" w:firstLineChars="50"/>
              <w:rPr>
                <w:b/>
                <w:color w:val="000000" w:themeColor="text1"/>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月-202</w:t>
            </w:r>
            <w:r>
              <w:rPr>
                <w:rFonts w:hint="eastAsia" w:ascii="宋体" w:hAnsi="宋体" w:cs="宋体"/>
                <w:sz w:val="21"/>
                <w:szCs w:val="21"/>
                <w:lang w:val="en-US" w:eastAsia="zh-CN"/>
              </w:rPr>
              <w:t>1</w:t>
            </w:r>
            <w:r>
              <w:rPr>
                <w:rFonts w:hint="eastAsia" w:ascii="宋体" w:hAnsi="宋体" w:cs="宋体"/>
                <w:sz w:val="21"/>
                <w:szCs w:val="21"/>
              </w:rPr>
              <w:t>年</w:t>
            </w:r>
            <w:r>
              <w:rPr>
                <w:rFonts w:hint="eastAsia" w:ascii="宋体" w:hAnsi="宋体" w:cs="宋体"/>
                <w:sz w:val="21"/>
                <w:szCs w:val="21"/>
                <w:lang w:val="en-US" w:eastAsia="zh-CN"/>
              </w:rPr>
              <w:t>3</w:t>
            </w:r>
            <w:r>
              <w:rPr>
                <w:rFonts w:hint="eastAsia" w:ascii="宋体" w:hAnsi="宋体" w:cs="宋体"/>
                <w:sz w:val="21"/>
                <w:szCs w:val="21"/>
              </w:rPr>
              <w:t>月</w:t>
            </w:r>
            <w:r>
              <w:rPr>
                <w:rFonts w:hint="eastAsia" w:ascii="宋体" w:hAnsi="宋体" w:cs="宋体"/>
                <w:color w:val="000000"/>
                <w:sz w:val="21"/>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2.顾客满意</w:t>
            </w:r>
          </w:p>
          <w:p>
            <w:pPr>
              <w:spacing w:line="240" w:lineRule="exact"/>
              <w:ind w:left="120" w:leftChars="50" w:firstLine="315" w:firstLineChars="150"/>
              <w:rPr>
                <w:b/>
                <w:color w:val="000000" w:themeColor="text1"/>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w:t>
            </w:r>
            <w:r>
              <w:rPr>
                <w:rFonts w:hint="eastAsia" w:ascii="宋体" w:hAnsi="宋体" w:cs="宋体"/>
                <w:color w:val="000000"/>
                <w:sz w:val="21"/>
                <w:szCs w:val="21"/>
                <w:highlight w:val="none"/>
              </w:rPr>
              <w:t>度调查按规定实施，</w:t>
            </w:r>
            <w:r>
              <w:rPr>
                <w:rFonts w:hint="eastAsia" w:ascii="宋体" w:hAnsi="宋体" w:cs="宋体"/>
                <w:sz w:val="21"/>
                <w:szCs w:val="21"/>
                <w:highlight w:val="none"/>
              </w:rPr>
              <w:t>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月实施，满意度评价</w:t>
            </w:r>
            <w:r>
              <w:rPr>
                <w:rFonts w:hint="eastAsia" w:ascii="宋体" w:hAnsi="宋体" w:cs="宋体"/>
                <w:sz w:val="21"/>
                <w:szCs w:val="21"/>
                <w:highlight w:val="none"/>
                <w:lang w:val="en-US" w:eastAsia="zh-CN"/>
              </w:rPr>
              <w:t>96</w:t>
            </w:r>
            <w:r>
              <w:rPr>
                <w:rFonts w:hint="eastAsia" w:ascii="宋体" w:hAnsi="宋体" w:cs="宋体"/>
                <w:sz w:val="21"/>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highlight w:val="none"/>
              </w:rPr>
            </w:pPr>
            <w:r>
              <w:rPr>
                <w:rFonts w:hint="eastAsia"/>
                <w:b/>
                <w:color w:val="000000" w:themeColor="text1"/>
                <w:sz w:val="21"/>
                <w:szCs w:val="21"/>
                <w:highlight w:val="none"/>
              </w:rPr>
              <w:t>3. 内审（包括内审策划审核方案中考虑拟审核的过程和区域的状况和重要性）</w:t>
            </w:r>
          </w:p>
          <w:p>
            <w:pPr>
              <w:spacing w:line="240" w:lineRule="exact"/>
              <w:rPr>
                <w:b/>
                <w:color w:val="FF0000"/>
                <w:sz w:val="21"/>
                <w:szCs w:val="21"/>
                <w:highlight w:val="none"/>
              </w:rPr>
            </w:pPr>
            <w:r>
              <w:rPr>
                <w:rFonts w:hint="eastAsia" w:ascii="宋体" w:hAnsi="宋体"/>
                <w:sz w:val="21"/>
                <w:szCs w:val="21"/>
                <w:highlight w:val="none"/>
              </w:rPr>
              <w:t>建立有《内部审核控制程序》，规定了内审频次一年一次，内审时间：202</w:t>
            </w:r>
            <w:r>
              <w:rPr>
                <w:rFonts w:hint="eastAsia" w:ascii="宋体" w:hAnsi="宋体"/>
                <w:sz w:val="21"/>
                <w:szCs w:val="21"/>
                <w:highlight w:val="none"/>
                <w:lang w:val="en-US" w:eastAsia="zh-CN"/>
              </w:rPr>
              <w:t>1</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r>
              <w:rPr>
                <w:rFonts w:hint="eastAsia" w:ascii="宋体" w:hAnsi="宋体"/>
                <w:sz w:val="21"/>
                <w:szCs w:val="21"/>
                <w:highlight w:val="none"/>
                <w:lang w:val="en-US" w:eastAsia="zh-CN"/>
              </w:rPr>
              <w:t>10</w:t>
            </w:r>
            <w:r>
              <w:rPr>
                <w:rFonts w:hint="eastAsia" w:ascii="宋体" w:hAnsi="宋体"/>
                <w:sz w:val="21"/>
                <w:szCs w:val="21"/>
                <w:highlight w:val="none"/>
              </w:rPr>
              <w:t>日-</w:t>
            </w:r>
            <w:r>
              <w:rPr>
                <w:rFonts w:hint="eastAsia" w:ascii="宋体" w:hAnsi="宋体"/>
                <w:sz w:val="21"/>
                <w:szCs w:val="21"/>
                <w:highlight w:val="none"/>
                <w:lang w:val="en-US" w:eastAsia="zh-CN"/>
              </w:rPr>
              <w:t>11</w:t>
            </w:r>
            <w:r>
              <w:rPr>
                <w:rFonts w:hint="eastAsia" w:ascii="宋体" w:hAnsi="宋体"/>
                <w:sz w:val="21"/>
                <w:szCs w:val="21"/>
                <w:highlight w:val="none"/>
              </w:rPr>
              <w:t>日，拟定了审核实施表，明确了内审范围，内审人员经培训合格上岗，能力满足要求，未出现审核本部门情况，内审不符合项1项，涉及销售部Q8.5.1条款公司识别需确认过程为销售服务过程，不能提供对该过程的再确认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highlight w:val="none"/>
              </w:rPr>
            </w:pPr>
            <w:r>
              <w:rPr>
                <w:rFonts w:hint="eastAsia"/>
                <w:b/>
                <w:color w:val="000000" w:themeColor="text1"/>
                <w:sz w:val="21"/>
                <w:szCs w:val="21"/>
                <w:highlight w:val="none"/>
              </w:rPr>
              <w:t>4.管理评审（管理评审体系变更需求，纠正和预防措施、体系有效性等）</w:t>
            </w:r>
          </w:p>
          <w:p>
            <w:pPr>
              <w:spacing w:line="240" w:lineRule="exact"/>
              <w:rPr>
                <w:b/>
                <w:color w:val="000000" w:themeColor="text1"/>
                <w:sz w:val="21"/>
                <w:szCs w:val="21"/>
                <w:highlight w:val="none"/>
              </w:rPr>
            </w:pPr>
            <w:r>
              <w:rPr>
                <w:rFonts w:hint="eastAsia" w:ascii="宋体" w:hAnsi="宋体" w:cs="宋体"/>
                <w:sz w:val="21"/>
                <w:szCs w:val="21"/>
                <w:highlight w:val="none"/>
              </w:rPr>
              <w:t>管理评审频次为一年一次、本次管理评审于</w:t>
            </w:r>
            <w:r>
              <w:rPr>
                <w:rFonts w:hint="eastAsia" w:ascii="宋体" w:hAnsi="宋体"/>
                <w:sz w:val="21"/>
                <w:szCs w:val="21"/>
                <w:highlight w:val="none"/>
              </w:rPr>
              <w:t>202</w:t>
            </w:r>
            <w:r>
              <w:rPr>
                <w:rFonts w:hint="eastAsia" w:ascii="宋体" w:hAnsi="宋体"/>
                <w:sz w:val="21"/>
                <w:szCs w:val="21"/>
                <w:highlight w:val="none"/>
                <w:lang w:val="en-US" w:eastAsia="zh-CN"/>
              </w:rPr>
              <w:t>1</w:t>
            </w:r>
            <w:r>
              <w:rPr>
                <w:rFonts w:hint="eastAsia" w:ascii="宋体" w:hAnsi="宋体"/>
                <w:sz w:val="21"/>
                <w:szCs w:val="21"/>
                <w:highlight w:val="none"/>
              </w:rPr>
              <w:t>年</w:t>
            </w:r>
            <w:r>
              <w:rPr>
                <w:rFonts w:hint="eastAsia" w:ascii="宋体" w:hAnsi="宋体"/>
                <w:sz w:val="21"/>
                <w:szCs w:val="21"/>
                <w:highlight w:val="none"/>
                <w:lang w:val="en-US" w:eastAsia="zh-CN"/>
              </w:rPr>
              <w:t>4</w:t>
            </w:r>
            <w:r>
              <w:rPr>
                <w:rFonts w:hint="eastAsia" w:ascii="宋体" w:hAnsi="宋体"/>
                <w:sz w:val="21"/>
                <w:szCs w:val="21"/>
                <w:highlight w:val="none"/>
              </w:rPr>
              <w:t>月</w:t>
            </w:r>
            <w:r>
              <w:rPr>
                <w:rFonts w:hint="eastAsia" w:ascii="宋体" w:hAnsi="宋体"/>
                <w:sz w:val="21"/>
                <w:szCs w:val="21"/>
                <w:highlight w:val="none"/>
                <w:lang w:val="en-US" w:eastAsia="zh-CN"/>
              </w:rPr>
              <w:t>10</w:t>
            </w:r>
            <w:r>
              <w:rPr>
                <w:rFonts w:hint="eastAsia" w:ascii="宋体" w:hAnsi="宋体"/>
                <w:sz w:val="21"/>
                <w:szCs w:val="21"/>
                <w:highlight w:val="none"/>
              </w:rPr>
              <w:t>日</w:t>
            </w:r>
            <w:r>
              <w:rPr>
                <w:rFonts w:hint="eastAsia" w:ascii="宋体" w:hAnsi="宋体" w:cs="宋体"/>
                <w:sz w:val="21"/>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ind w:firstLine="210" w:firstLineChars="100"/>
              <w:rPr>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b/>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b/>
                <w:color w:val="000000" w:themeColor="text1"/>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b/>
                <w:sz w:val="21"/>
                <w:szCs w:val="21"/>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1"/>
                <w:szCs w:val="21"/>
              </w:rPr>
            </w:pPr>
          </w:p>
        </w:tc>
        <w:tc>
          <w:tcPr>
            <w:tcW w:w="9198" w:type="dxa"/>
            <w:tcBorders>
              <w:bottom w:val="single" w:color="auto" w:sz="4" w:space="0"/>
            </w:tcBorders>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b/>
                <w:sz w:val="21"/>
                <w:szCs w:val="21"/>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240" w:lineRule="exact"/>
              <w:rPr>
                <w:b/>
                <w:color w:val="000000" w:themeColor="text1"/>
                <w:sz w:val="21"/>
                <w:szCs w:val="21"/>
              </w:rPr>
            </w:pPr>
            <w:r>
              <w:rPr>
                <w:rFonts w:hint="eastAsia"/>
                <w:b/>
                <w:color w:val="000000" w:themeColor="text1"/>
                <w:spacing w:val="-2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3. 一阶段提出问题的整改情况?</w:t>
            </w:r>
          </w:p>
          <w:p>
            <w:pPr>
              <w:spacing w:line="240" w:lineRule="exact"/>
              <w:rPr>
                <w:b/>
                <w:color w:val="000000" w:themeColor="text1"/>
                <w:spacing w:val="-20"/>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4.创新情况</w:t>
            </w:r>
          </w:p>
          <w:p>
            <w:pPr>
              <w:spacing w:line="240" w:lineRule="exact"/>
              <w:rPr>
                <w:b/>
                <w:color w:val="000000" w:themeColor="text1"/>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5. 上次不符合的整改情况（再认证填写）</w:t>
            </w:r>
          </w:p>
          <w:p>
            <w:pPr>
              <w:spacing w:line="240" w:lineRule="exact"/>
              <w:rPr>
                <w:b/>
                <w:color w:val="000000" w:themeColor="text1"/>
                <w:sz w:val="21"/>
                <w:szCs w:val="21"/>
              </w:rPr>
            </w:pPr>
            <w:r>
              <w:rPr>
                <w:rFonts w:hint="eastAsia" w:ascii="宋体" w:hAnsi="宋体" w:eastAsia="宋体" w:cs="宋体"/>
                <w:color w:val="auto"/>
                <w:sz w:val="21"/>
                <w:szCs w:val="21"/>
                <w:highlight w:val="none"/>
              </w:rPr>
              <w:t>上次不符合为</w:t>
            </w:r>
            <w:r>
              <w:rPr>
                <w:rFonts w:hint="eastAsia" w:ascii="宋体" w:hAnsi="宋体" w:cs="宋体"/>
                <w:color w:val="auto"/>
                <w:sz w:val="21"/>
                <w:szCs w:val="21"/>
                <w:highlight w:val="none"/>
                <w:lang w:val="en-US" w:eastAsia="zh-CN"/>
              </w:rPr>
              <w:t>市场</w:t>
            </w:r>
            <w:r>
              <w:rPr>
                <w:rFonts w:hint="eastAsia" w:ascii="宋体" w:hAnsi="宋体" w:cs="宋体"/>
                <w:color w:val="auto"/>
                <w:sz w:val="21"/>
                <w:szCs w:val="21"/>
                <w:highlight w:val="none"/>
                <w:lang w:eastAsia="zh-CN"/>
              </w:rPr>
              <w:t>部门</w:t>
            </w:r>
            <w:r>
              <w:rPr>
                <w:rFonts w:hint="eastAsia" w:ascii="宋体" w:hAnsi="宋体" w:cs="宋体"/>
                <w:color w:val="auto"/>
                <w:sz w:val="21"/>
                <w:szCs w:val="21"/>
                <w:highlight w:val="none"/>
                <w:lang w:val="en-US" w:eastAsia="zh-CN"/>
              </w:rPr>
              <w:t>Q8.4.1条款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auto"/>
          <w:szCs w:val="21"/>
          <w:highlight w:val="none"/>
        </w:rPr>
      </w:pPr>
      <w:r>
        <w:rPr>
          <w:rFonts w:hint="eastAsia" w:ascii="宋体" w:hAnsi="宋体"/>
          <w:b/>
          <w:color w:val="auto"/>
          <w:szCs w:val="21"/>
          <w:highlight w:val="none"/>
        </w:rPr>
        <w:t>本</w:t>
      </w:r>
      <w:r>
        <w:rPr>
          <w:rFonts w:hint="eastAsia"/>
          <w:b/>
          <w:color w:val="auto"/>
          <w:sz w:val="26"/>
          <w:szCs w:val="26"/>
          <w:highlight w:val="none"/>
        </w:rPr>
        <w:t>次审核共开具不符合项报告1项；其中</w:t>
      </w:r>
      <w:r>
        <w:rPr>
          <w:b/>
          <w:color w:val="auto"/>
          <w:sz w:val="26"/>
          <w:szCs w:val="26"/>
          <w:highlight w:val="none"/>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b/>
          <w:color w:val="auto"/>
          <w:sz w:val="26"/>
          <w:szCs w:val="26"/>
          <w:highlight w:val="none"/>
        </w:rPr>
        <w:t>严重不符合 0项，一般不符合 1项，观察项0项。不符合项分布在</w:t>
      </w:r>
      <w:r>
        <w:rPr>
          <w:rFonts w:hint="eastAsia"/>
          <w:b/>
          <w:color w:val="auto"/>
          <w:sz w:val="26"/>
          <w:szCs w:val="26"/>
          <w:highlight w:val="none"/>
          <w:lang w:val="en-US" w:eastAsia="zh-CN"/>
        </w:rPr>
        <w:t>市场</w:t>
      </w:r>
      <w:r>
        <w:rPr>
          <w:rFonts w:hint="eastAsia"/>
          <w:b/>
          <w:color w:val="auto"/>
          <w:sz w:val="26"/>
          <w:szCs w:val="26"/>
          <w:highlight w:val="none"/>
        </w:rPr>
        <w:t>部门</w:t>
      </w:r>
      <w:r>
        <w:rPr>
          <w:rFonts w:hint="eastAsia"/>
          <w:b/>
          <w:color w:val="auto"/>
          <w:sz w:val="26"/>
          <w:szCs w:val="26"/>
          <w:highlight w:val="none"/>
          <w:lang w:val="en-US" w:eastAsia="zh-CN"/>
        </w:rPr>
        <w:t>Q</w:t>
      </w:r>
      <w:r>
        <w:rPr>
          <w:rFonts w:hint="eastAsia"/>
          <w:b/>
          <w:color w:val="auto"/>
          <w:sz w:val="26"/>
          <w:szCs w:val="26"/>
          <w:highlight w:val="none"/>
        </w:rPr>
        <w:t>8.</w:t>
      </w:r>
      <w:r>
        <w:rPr>
          <w:rFonts w:hint="eastAsia"/>
          <w:b/>
          <w:color w:val="auto"/>
          <w:sz w:val="26"/>
          <w:szCs w:val="26"/>
          <w:highlight w:val="none"/>
          <w:lang w:val="en-US" w:eastAsia="zh-CN"/>
        </w:rPr>
        <w:t>5.2</w:t>
      </w:r>
      <w:r>
        <w:rPr>
          <w:rFonts w:hint="eastAsia"/>
          <w:b/>
          <w:color w:val="auto"/>
          <w:sz w:val="26"/>
          <w:szCs w:val="26"/>
          <w:highlight w:val="none"/>
        </w:rPr>
        <w:t>条款，见不符合</w:t>
      </w:r>
      <w:r>
        <w:rPr>
          <w:rFonts w:hint="eastAsia" w:ascii="宋体" w:hAnsi="宋体"/>
          <w:b/>
          <w:color w:val="auto"/>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重庆恒瑞宏电力工程有限公司</w:t>
            </w:r>
            <w:r>
              <w:rPr>
                <w:rFonts w:hint="eastAsia" w:asciiTheme="minorEastAsia" w:hAnsiTheme="minorEastAsia" w:eastAsiaTheme="minorEastAsia"/>
                <w:sz w:val="24"/>
                <w:szCs w:val="24"/>
                <w:lang w:eastAsia="zh-CN"/>
              </w:rPr>
              <w:t>）</w:t>
            </w:r>
            <w:r>
              <w:rPr>
                <w:rFonts w:hint="eastAsia" w:ascii="微软雅黑" w:hAnsi="微软雅黑" w:eastAsia="微软雅黑"/>
                <w:bCs/>
                <w:szCs w:val="24"/>
              </w:rPr>
              <w:t>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eastAsia" w:ascii="宋体" w:hAnsi="宋体" w:eastAsia="宋体"/>
                <w:b/>
                <w:szCs w:val="21"/>
                <w:lang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1312" behindDoc="0" locked="0" layoutInCell="1" allowOverlap="1">
            <wp:simplePos x="0" y="0"/>
            <wp:positionH relativeFrom="column">
              <wp:posOffset>1684655</wp:posOffset>
            </wp:positionH>
            <wp:positionV relativeFrom="paragraph">
              <wp:posOffset>271780</wp:posOffset>
            </wp:positionV>
            <wp:extent cx="757555" cy="419735"/>
            <wp:effectExtent l="0" t="0" r="4445" b="6985"/>
            <wp:wrapNone/>
            <wp:docPr id="1"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2277745</wp:posOffset>
            </wp:positionH>
            <wp:positionV relativeFrom="paragraph">
              <wp:posOffset>170180</wp:posOffset>
            </wp:positionV>
            <wp:extent cx="596900" cy="297815"/>
            <wp:effectExtent l="0" t="0" r="12700" b="6985"/>
            <wp:wrapNone/>
            <wp:docPr id="3"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cd23edb0d814701504dd7deb97d797b"/>
                    <pic:cNvPicPr>
                      <a:picLocks noChangeAspect="1"/>
                    </pic:cNvPicPr>
                  </pic:nvPicPr>
                  <pic:blipFill>
                    <a:blip r:embed="rId7"/>
                    <a:srcRect l="10378" t="24118" r="4335" b="17352"/>
                    <a:stretch>
                      <a:fillRect/>
                    </a:stretch>
                  </pic:blipFill>
                  <pic:spPr>
                    <a:xfrm>
                      <a:off x="0" y="0"/>
                      <a:ext cx="596900" cy="297815"/>
                    </a:xfrm>
                    <a:prstGeom prst="rect">
                      <a:avLst/>
                    </a:prstGeom>
                    <a:noFill/>
                    <a:ln>
                      <a:noFill/>
                    </a:ln>
                  </pic:spPr>
                </pic:pic>
              </a:graphicData>
            </a:graphic>
          </wp:anchor>
        </w:drawing>
      </w:r>
      <w:r>
        <w:rPr>
          <w:rFonts w:hint="eastAsia"/>
          <w:b/>
          <w:sz w:val="22"/>
          <w:szCs w:val="22"/>
        </w:rPr>
        <w:drawing>
          <wp:anchor distT="0" distB="0" distL="114300" distR="114300" simplePos="0" relativeHeight="251663360" behindDoc="0" locked="0" layoutInCell="1" allowOverlap="1">
            <wp:simplePos x="0" y="0"/>
            <wp:positionH relativeFrom="column">
              <wp:posOffset>1628775</wp:posOffset>
            </wp:positionH>
            <wp:positionV relativeFrom="paragraph">
              <wp:posOffset>101600</wp:posOffset>
            </wp:positionV>
            <wp:extent cx="502285" cy="380365"/>
            <wp:effectExtent l="0" t="0" r="635" b="635"/>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pic:cNvPicPr>
                  </pic:nvPicPr>
                  <pic:blipFill>
                    <a:blip r:embed="rId8"/>
                    <a:stretch>
                      <a:fillRect/>
                    </a:stretch>
                  </pic:blipFill>
                  <pic:spPr>
                    <a:xfrm>
                      <a:off x="0" y="0"/>
                      <a:ext cx="502285" cy="38036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4"/>
          <w:szCs w:val="24"/>
          <w:lang w:val="en-US" w:eastAsia="zh-CN"/>
        </w:rPr>
        <w:t>2021.4.19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bookmarkStart w:id="27" w:name="_GoBack"/>
      <w:r>
        <w:rPr>
          <w:b/>
          <w:bCs/>
          <w:sz w:val="21"/>
          <w:szCs w:val="21"/>
          <w:highlight w:val="none"/>
        </w:rPr>
        <w:t>1.</w:t>
      </w: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rFonts w:hint="eastAsia"/>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p>
    <w:bookmarkEnd w:id="27"/>
    <w:p>
      <w:pPr>
        <w:spacing w:line="360" w:lineRule="exact"/>
        <w:ind w:firstLine="843" w:firstLineChars="400"/>
        <w:rPr>
          <w:rFonts w:hint="eastAsia"/>
          <w:b/>
          <w:sz w:val="21"/>
          <w:szCs w:val="21"/>
          <w:highlight w:val="none"/>
        </w:rPr>
      </w:pPr>
    </w:p>
    <w:p>
      <w:pPr>
        <w:spacing w:line="360" w:lineRule="exact"/>
        <w:ind w:firstLine="843" w:firstLineChars="400"/>
        <w:rPr>
          <w:b/>
          <w:sz w:val="21"/>
          <w:szCs w:val="21"/>
          <w:u w:val="single"/>
        </w:rPr>
      </w:pPr>
      <w:r>
        <w:rPr>
          <w:rFonts w:hint="eastAsia"/>
          <w:b/>
          <w:bCs/>
          <w:sz w:val="21"/>
          <w:szCs w:val="21"/>
          <w:highlight w:val="none"/>
        </w:rPr>
        <w:t>审</w:t>
      </w:r>
      <w:r>
        <w:rPr>
          <w:rFonts w:hint="eastAsia"/>
          <w:b/>
          <w:bCs/>
          <w:sz w:val="21"/>
          <w:szCs w:val="21"/>
          <w:highlight w:val="none"/>
          <w:lang w:val="en-US" w:eastAsia="zh-CN"/>
        </w:rPr>
        <w:t>核</w:t>
      </w: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988" w:firstLineChars="900"/>
        <w:rPr>
          <w:b/>
          <w:sz w:val="2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1123315</wp:posOffset>
            </wp:positionH>
            <wp:positionV relativeFrom="paragraph">
              <wp:posOffset>269875</wp:posOffset>
            </wp:positionV>
            <wp:extent cx="757555" cy="419735"/>
            <wp:effectExtent l="0" t="0" r="4445" b="6985"/>
            <wp:wrapNone/>
            <wp:docPr id="4"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2"/>
          <w:szCs w:val="22"/>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4651"/>
          <w:tab w:val="left" w:pos="7740"/>
        </w:tabs>
        <w:snapToGrid w:val="0"/>
        <w:spacing w:before="163" w:beforeLines="50"/>
        <w:ind w:firstLine="723" w:firstLineChars="343"/>
        <w:rPr>
          <w:rFonts w:hint="default" w:eastAsia="宋体"/>
          <w:b/>
          <w:sz w:val="21"/>
          <w:szCs w:val="21"/>
          <w:u w:val="single"/>
          <w:lang w:val="en-US" w:eastAsia="zh-CN"/>
        </w:rPr>
      </w:pPr>
      <w:r>
        <w:rPr>
          <w:rFonts w:hint="eastAsia"/>
          <w:b/>
          <w:sz w:val="21"/>
          <w:szCs w:val="21"/>
        </w:rPr>
        <w:t>组长签字：</w:t>
      </w:r>
      <w:r>
        <w:rPr>
          <w:rFonts w:hint="eastAsia"/>
          <w:b/>
          <w:sz w:val="21"/>
          <w:szCs w:val="21"/>
          <w:lang w:eastAsia="zh-CN"/>
        </w:rPr>
        <w:tab/>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3073" o:spid="_x0000_s3073"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3074"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99BFF"/>
    <w:multiLevelType w:val="singleLevel"/>
    <w:tmpl w:val="2C599BFF"/>
    <w:lvl w:ilvl="0" w:tentative="0">
      <w:start w:val="1"/>
      <w:numFmt w:val="decimal"/>
      <w:suff w:val="nothing"/>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92552D"/>
    <w:rsid w:val="04336049"/>
    <w:rsid w:val="06BE0751"/>
    <w:rsid w:val="0BC54BD3"/>
    <w:rsid w:val="0EEC20A1"/>
    <w:rsid w:val="5DDF0CC2"/>
    <w:rsid w:val="6E1F4622"/>
    <w:rsid w:val="76930E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6</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2021-04-19T05:56:21Z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1472A91239134830AADFCF773B84BB89</vt:lpwstr>
  </property>
</Properties>
</file>