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0325-2021-QEO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四川地星科技发展有限公司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Q:34.06.00</w:t>
            </w:r>
          </w:p>
          <w:p>
            <w:pPr>
              <w:spacing w:line="240" w:lineRule="exact"/>
              <w:jc w:val="center"/>
              <w:rPr>
                <w:b/>
                <w:color w:val="000000"/>
                <w:sz w:val="20"/>
                <w:szCs w:val="20"/>
              </w:rPr>
            </w:pPr>
            <w:r>
              <w:rPr>
                <w:b/>
                <w:color w:val="000000"/>
                <w:sz w:val="20"/>
                <w:szCs w:val="20"/>
              </w:rPr>
              <w:t>E:34.01.02,34.06.00</w:t>
            </w:r>
          </w:p>
          <w:p>
            <w:pPr>
              <w:spacing w:line="240" w:lineRule="exact"/>
              <w:jc w:val="center"/>
              <w:rPr>
                <w:b/>
                <w:color w:val="000000"/>
                <w:sz w:val="20"/>
                <w:szCs w:val="20"/>
              </w:rPr>
            </w:pPr>
            <w:r>
              <w:rPr>
                <w:b/>
                <w:color w:val="000000"/>
                <w:sz w:val="20"/>
                <w:szCs w:val="20"/>
              </w:rPr>
              <w:t>O:34.01.02,34.06.00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r>
              <w:rPr>
                <w:b/>
                <w:color w:val="000000"/>
                <w:sz w:val="20"/>
                <w:szCs w:val="20"/>
              </w:rPr>
              <w:t>Q:34.01.02,34.06.00</w:t>
            </w:r>
          </w:p>
          <w:p>
            <w:pPr>
              <w:spacing w:line="240" w:lineRule="exact"/>
              <w:jc w:val="center"/>
              <w:rPr>
                <w:b/>
                <w:color w:val="000000"/>
                <w:sz w:val="20"/>
                <w:szCs w:val="20"/>
              </w:rPr>
            </w:pPr>
            <w:r>
              <w:rPr>
                <w:b/>
                <w:color w:val="000000"/>
                <w:sz w:val="20"/>
                <w:szCs w:val="20"/>
              </w:rPr>
              <w:t>E:34.01.02,34.06.00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四川地星科技发展有限公司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成都市高新区芳草东街76号4楼403室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成都市武侯区武侯大道双楠段112号A9</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方利群</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028-85251203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余海</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肖华</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510683144@qq.com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Q：资质范围内的确权调查咨询服务，地理信息系统工程，工程测量，地理信息数据采集及处理</w:t>
            </w:r>
          </w:p>
          <w:p>
            <w:pPr>
              <w:spacing w:line="400" w:lineRule="exact"/>
              <w:rPr>
                <w:rFonts w:ascii="宋体" w:hAnsi="宋体"/>
                <w:b/>
                <w:color w:val="000000"/>
                <w:sz w:val="20"/>
                <w:szCs w:val="20"/>
              </w:rPr>
            </w:pPr>
            <w:r>
              <w:rPr>
                <w:rFonts w:ascii="宋体" w:hAnsi="宋体"/>
                <w:b/>
                <w:color w:val="000000"/>
                <w:sz w:val="20"/>
                <w:szCs w:val="20"/>
              </w:rPr>
              <w:t>E：资质范围内的确权调查咨询服务，地理信息系统工程，工程测量，地理信息数据采集及处理相关的环境管理活动。</w:t>
            </w:r>
          </w:p>
          <w:p>
            <w:pPr>
              <w:spacing w:line="400" w:lineRule="exact"/>
              <w:rPr>
                <w:rFonts w:ascii="宋体" w:hAnsi="宋体"/>
                <w:b/>
                <w:color w:val="000000"/>
                <w:sz w:val="20"/>
                <w:szCs w:val="20"/>
              </w:rPr>
            </w:pPr>
            <w:r>
              <w:rPr>
                <w:rFonts w:ascii="宋体" w:hAnsi="宋体"/>
                <w:b/>
                <w:color w:val="000000"/>
                <w:sz w:val="20"/>
                <w:szCs w:val="20"/>
              </w:rPr>
              <w:t>O：资质范围内的确权调查咨询服务，地理信息系统工程，工程测量，地理信息数据采集及处理相关的职业健康管理活动。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Q：34.01.02;34.06.00</w:t>
            </w:r>
          </w:p>
          <w:p>
            <w:pPr>
              <w:spacing w:line="280" w:lineRule="exact"/>
              <w:rPr>
                <w:rFonts w:ascii="宋体"/>
                <w:b/>
                <w:color w:val="000000"/>
                <w:sz w:val="20"/>
                <w:szCs w:val="20"/>
              </w:rPr>
            </w:pPr>
            <w:r>
              <w:rPr>
                <w:rFonts w:ascii="宋体"/>
                <w:b/>
                <w:color w:val="000000"/>
                <w:sz w:val="20"/>
                <w:szCs w:val="20"/>
              </w:rPr>
              <w:t>E：34.01.02;34.06.00</w:t>
            </w:r>
          </w:p>
          <w:p>
            <w:pPr>
              <w:spacing w:line="280" w:lineRule="exact"/>
              <w:rPr>
                <w:rFonts w:ascii="宋体"/>
                <w:b/>
                <w:color w:val="000000"/>
                <w:sz w:val="20"/>
                <w:szCs w:val="20"/>
              </w:rPr>
            </w:pPr>
            <w:r>
              <w:rPr>
                <w:rFonts w:ascii="宋体"/>
                <w:b/>
                <w:color w:val="000000"/>
                <w:sz w:val="20"/>
                <w:szCs w:val="20"/>
              </w:rPr>
              <w:t>O：34.01.02;34.06.00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黑体" w:hAnsi="黑体" w:eastAsia="黑体" w:cs="黑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w:t>
      </w:r>
      <w:r>
        <w:rPr>
          <w:rFonts w:hint="eastAsia" w:ascii="宋体" w:hAnsi="宋体"/>
          <w:b/>
          <w:color w:val="000000"/>
          <w:sz w:val="20"/>
          <w:szCs w:val="20"/>
          <w:lang w:eastAsia="zh-CN"/>
        </w:rPr>
        <w:t>管理层、综合管理部、财务部、技术部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黑体" w:hAnsi="黑体" w:eastAsia="黑体" w:cs="黑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eastAsia="宋体" w:cs="Times New Roman"/>
                <w:b/>
                <w:color w:val="000000"/>
                <w:sz w:val="20"/>
                <w:szCs w:val="20"/>
              </w:rPr>
              <w:t>资质范围内的确权调查咨询服务，地理信息系统工程，工程测量，地理信息数据采集及处理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综合管理部、财务部、技术部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eastAsia="zh-CN"/>
              </w:rPr>
              <w:t>综合管理部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综合管理部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1个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受审核方位于：成都市武侯区武侯大道双楠段112号A9</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黑体" w:hAnsi="黑体" w:eastAsia="黑体" w:cs="黑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pacing w:val="-10"/>
                <w:sz w:val="20"/>
                <w:szCs w:val="20"/>
              </w:rPr>
              <w:t>产品技术标准号：</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合同签订→收集资料→现场测绘→编制、绘图→编制项目报告（文本、图件）→变更（需要时）→交付客户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关键过程有：测绘的服务过程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测绘技术作业指导书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需要确认过程：测绘的服务过程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外包过程有：地质测绘（钻探）</w:t>
            </w:r>
            <w:r>
              <w:rPr>
                <w:rFonts w:hint="eastAsia" w:ascii="宋体" w:hAnsi="宋体"/>
                <w:color w:val="000000"/>
                <w:sz w:val="20"/>
                <w:szCs w:val="20"/>
                <w:lang w:val="en-US" w:eastAsia="zh-CN"/>
              </w:rPr>
              <w:t>、图文打印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pacing w:val="-10"/>
                <w:sz w:val="20"/>
                <w:szCs w:val="20"/>
              </w:rPr>
            </w:pPr>
            <w:r>
              <w:rPr>
                <w:rFonts w:hint="eastAsia" w:ascii="宋体" w:hAnsi="宋体"/>
                <w:color w:val="000000" w:themeColor="text1"/>
                <w:sz w:val="20"/>
                <w:szCs w:val="20"/>
              </w:rPr>
              <w:t>主要设备</w:t>
            </w:r>
          </w:p>
        </w:tc>
        <w:tc>
          <w:tcPr>
            <w:tcW w:w="7427" w:type="dxa"/>
          </w:tcPr>
          <w:p>
            <w:pPr>
              <w:rPr>
                <w:rFonts w:ascii="宋体"/>
                <w:color w:val="000000" w:themeColor="text1"/>
                <w:spacing w:val="-10"/>
                <w:sz w:val="20"/>
                <w:szCs w:val="20"/>
              </w:rPr>
            </w:pPr>
            <w:r>
              <w:rPr>
                <w:rFonts w:hint="eastAsia" w:ascii="宋体" w:hAnsi="宋体"/>
                <w:color w:val="000000" w:themeColor="text1"/>
                <w:spacing w:val="-10"/>
                <w:sz w:val="20"/>
                <w:szCs w:val="20"/>
              </w:rPr>
              <w:t>主要设备：</w:t>
            </w:r>
            <w:r>
              <w:rPr>
                <w:rFonts w:hint="eastAsia" w:ascii="宋体" w:hAnsi="宋体"/>
                <w:color w:val="000000" w:themeColor="text1"/>
                <w:spacing w:val="-10"/>
                <w:sz w:val="20"/>
                <w:szCs w:val="20"/>
                <w:lang w:val="en-US" w:eastAsia="zh-CN"/>
              </w:rPr>
              <w:t>电脑、笔记本、打印机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themeColor="text1"/>
                <w:szCs w:val="21"/>
              </w:rPr>
            </w:pPr>
          </w:p>
        </w:tc>
        <w:tc>
          <w:tcPr>
            <w:tcW w:w="7427" w:type="dxa"/>
          </w:tcPr>
          <w:p>
            <w:pPr>
              <w:rPr>
                <w:rFonts w:ascii="宋体"/>
                <w:color w:val="000000" w:themeColor="text1"/>
                <w:sz w:val="20"/>
                <w:szCs w:val="20"/>
              </w:rPr>
            </w:pPr>
            <w:r>
              <w:rPr>
                <w:rFonts w:hint="eastAsia" w:ascii="宋体" w:hAnsi="宋体"/>
                <w:color w:val="000000" w:themeColor="text1"/>
                <w:sz w:val="20"/>
                <w:szCs w:val="20"/>
              </w:rPr>
              <w:t>设备是否满足要求</w:t>
            </w:r>
            <w:r>
              <w:rPr>
                <w:rFonts w:hint="eastAsia" w:ascii="黑体" w:hAnsi="黑体" w:eastAsia="黑体" w:cs="黑体"/>
                <w:color w:val="000000" w:themeColor="text1"/>
                <w:sz w:val="20"/>
                <w:szCs w:val="20"/>
              </w:rPr>
              <w:t>■</w:t>
            </w:r>
            <w:r>
              <w:rPr>
                <w:rFonts w:hint="eastAsia" w:ascii="宋体" w:hAns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themeColor="text1"/>
                <w:szCs w:val="21"/>
              </w:rPr>
            </w:pPr>
          </w:p>
        </w:tc>
        <w:tc>
          <w:tcPr>
            <w:tcW w:w="7427" w:type="dxa"/>
          </w:tcPr>
          <w:p>
            <w:pPr>
              <w:rPr>
                <w:rFonts w:hint="eastAsia" w:ascii="宋体" w:eastAsia="宋体"/>
                <w:color w:val="000000" w:themeColor="text1"/>
                <w:sz w:val="20"/>
                <w:szCs w:val="20"/>
                <w:lang w:eastAsia="zh-CN"/>
              </w:rPr>
            </w:pPr>
            <w:r>
              <w:rPr>
                <w:rFonts w:hint="eastAsia" w:ascii="宋体" w:hAnsi="宋体"/>
                <w:color w:val="000000" w:themeColor="text1"/>
                <w:sz w:val="20"/>
                <w:szCs w:val="20"/>
              </w:rPr>
              <w:t>特种设备：</w:t>
            </w:r>
            <w:r>
              <w:rPr>
                <w:rFonts w:hint="eastAsia" w:ascii="宋体" w:hAnsi="宋体"/>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themeColor="text1"/>
                <w:szCs w:val="21"/>
              </w:rPr>
            </w:pPr>
          </w:p>
        </w:tc>
        <w:tc>
          <w:tcPr>
            <w:tcW w:w="7427" w:type="dxa"/>
          </w:tcPr>
          <w:p>
            <w:pPr>
              <w:rPr>
                <w:rFonts w:ascii="宋体"/>
                <w:color w:val="000000" w:themeColor="text1"/>
                <w:sz w:val="20"/>
                <w:szCs w:val="20"/>
              </w:rPr>
            </w:pPr>
            <w:r>
              <w:rPr>
                <w:rFonts w:hint="eastAsia" w:ascii="宋体" w:hAnsi="宋体"/>
                <w:color w:val="000000" w:themeColor="text1"/>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z w:val="20"/>
                <w:szCs w:val="20"/>
              </w:rPr>
            </w:pPr>
            <w:r>
              <w:rPr>
                <w:rFonts w:hint="eastAsia" w:ascii="宋体" w:hAnsi="宋体"/>
                <w:color w:val="000000" w:themeColor="text1"/>
                <w:sz w:val="20"/>
                <w:szCs w:val="20"/>
              </w:rPr>
              <w:t>主要监视和测量</w:t>
            </w:r>
          </w:p>
          <w:p>
            <w:pPr>
              <w:rPr>
                <w:rFonts w:ascii="宋体"/>
                <w:color w:val="000000" w:themeColor="text1"/>
                <w:sz w:val="20"/>
                <w:szCs w:val="20"/>
              </w:rPr>
            </w:pPr>
            <w:r>
              <w:rPr>
                <w:rFonts w:hint="eastAsia" w:ascii="宋体" w:hAnsi="宋体"/>
                <w:color w:val="000000" w:themeColor="text1"/>
                <w:sz w:val="20"/>
                <w:szCs w:val="20"/>
              </w:rPr>
              <w:t>设备</w:t>
            </w:r>
          </w:p>
        </w:tc>
        <w:tc>
          <w:tcPr>
            <w:tcW w:w="7427" w:type="dxa"/>
          </w:tcPr>
          <w:p>
            <w:pPr>
              <w:rPr>
                <w:rFonts w:ascii="宋体"/>
                <w:color w:val="000000" w:themeColor="text1"/>
                <w:sz w:val="20"/>
                <w:szCs w:val="20"/>
              </w:rPr>
            </w:pPr>
            <w:r>
              <w:rPr>
                <w:rFonts w:hint="eastAsia" w:ascii="宋体"/>
                <w:color w:val="000000" w:themeColor="text1"/>
                <w:sz w:val="20"/>
                <w:szCs w:val="20"/>
              </w:rPr>
              <w:t>监视和测量设备（请简述主要监视和测量设备）：</w:t>
            </w:r>
            <w:r>
              <w:rPr>
                <w:rFonts w:hint="eastAsia"/>
                <w:color w:val="auto"/>
                <w:lang w:val="en-US" w:eastAsia="zh-CN"/>
              </w:rPr>
              <w:t>手持测距仪、GNSS接收机、全站仪、水准仪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themeColor="text1"/>
                <w:sz w:val="20"/>
                <w:szCs w:val="20"/>
              </w:rPr>
            </w:pPr>
          </w:p>
        </w:tc>
        <w:tc>
          <w:tcPr>
            <w:tcW w:w="7427" w:type="dxa"/>
          </w:tcPr>
          <w:p>
            <w:pPr>
              <w:rPr>
                <w:rFonts w:ascii="宋体"/>
                <w:color w:val="000000" w:themeColor="text1"/>
                <w:sz w:val="20"/>
                <w:szCs w:val="20"/>
              </w:rPr>
            </w:pPr>
            <w:r>
              <w:rPr>
                <w:rFonts w:hint="eastAsia" w:ascii="宋体"/>
                <w:color w:val="000000" w:themeColor="text1"/>
                <w:sz w:val="20"/>
                <w:szCs w:val="20"/>
              </w:rPr>
              <w:t>检测设备是否满足要求</w:t>
            </w:r>
            <w:r>
              <w:rPr>
                <w:rFonts w:hint="eastAsia" w:ascii="黑体" w:hAnsi="黑体" w:eastAsia="黑体" w:cs="黑体"/>
                <w:color w:val="000000" w:themeColor="text1"/>
                <w:sz w:val="20"/>
                <w:szCs w:val="20"/>
              </w:rPr>
              <w:t>■</w:t>
            </w:r>
            <w:r>
              <w:rPr>
                <w:rFonts w:hint="eastAsia" w:asci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重要环境因素有：</w:t>
            </w:r>
            <w:r>
              <w:rPr>
                <w:rFonts w:hint="eastAsia" w:ascii="宋体"/>
                <w:color w:val="000000"/>
                <w:sz w:val="20"/>
                <w:szCs w:val="20"/>
                <w:lang w:eastAsia="zh-CN"/>
              </w:rPr>
              <w:t>固废的排放、潜在火灾、废气的排放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黑体" w:hAnsi="黑体" w:eastAsia="黑体" w:cs="黑体"/>
                <w:color w:val="000000"/>
                <w:sz w:val="20"/>
                <w:szCs w:val="20"/>
              </w:rPr>
              <w:t>■</w:t>
            </w:r>
            <w:r>
              <w:rPr>
                <w:rFonts w:hint="eastAsia" w:ascii="宋体"/>
                <w:color w:val="000000"/>
                <w:sz w:val="20"/>
                <w:szCs w:val="20"/>
              </w:rPr>
              <w:t>是□否，识别是否充分</w:t>
            </w:r>
            <w:r>
              <w:rPr>
                <w:rFonts w:hint="eastAsia" w:ascii="黑体" w:hAnsi="黑体" w:eastAsia="黑体" w:cs="黑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黑体" w:hAnsi="黑体" w:eastAsia="黑体" w:cs="黑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黑体" w:hAnsi="黑体" w:eastAsia="黑体" w:cs="黑体"/>
                <w:color w:val="000000"/>
                <w:sz w:val="20"/>
                <w:szCs w:val="20"/>
              </w:rPr>
              <w:t>■</w:t>
            </w:r>
            <w:r>
              <w:rPr>
                <w:rFonts w:hint="eastAsia" w:ascii="宋体"/>
                <w:color w:val="000000"/>
                <w:sz w:val="20"/>
                <w:szCs w:val="20"/>
              </w:rPr>
              <w:t>是□否</w:t>
            </w:r>
            <w:r>
              <w:rPr>
                <w:rFonts w:hint="eastAsia" w:ascii="黑体" w:hAnsi="黑体" w:eastAsia="黑体" w:cs="黑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应急预案有：火灾事故应急预案</w:t>
            </w:r>
            <w:r>
              <w:rPr>
                <w:rFonts w:hint="eastAsia" w:ascii="宋体"/>
                <w:color w:val="000000"/>
                <w:sz w:val="20"/>
                <w:szCs w:val="20"/>
                <w:lang w:eastAsia="zh-CN"/>
              </w:rPr>
              <w:t>、防中暑应急预案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不可接受风险有：</w:t>
            </w:r>
            <w:r>
              <w:rPr>
                <w:rFonts w:hint="eastAsia" w:ascii="宋体"/>
                <w:color w:val="000000"/>
                <w:sz w:val="20"/>
                <w:szCs w:val="20"/>
                <w:lang w:eastAsia="zh-CN"/>
              </w:rPr>
              <w:t>火灾、触电、交通事故、意外伤害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黑体" w:hAnsi="黑体" w:eastAsia="黑体" w:cs="黑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黑体" w:hAnsi="黑体" w:eastAsia="黑体" w:cs="黑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黑体" w:hAnsi="黑体" w:eastAsia="黑体" w:cs="黑体"/>
                <w:color w:val="000000"/>
                <w:sz w:val="20"/>
                <w:szCs w:val="20"/>
              </w:rPr>
              <w:t>■</w:t>
            </w:r>
            <w:r>
              <w:rPr>
                <w:rFonts w:hint="eastAsia" w:ascii="宋体"/>
                <w:color w:val="000000"/>
                <w:sz w:val="20"/>
                <w:szCs w:val="20"/>
              </w:rPr>
              <w:t>是□否，识别是否充分</w:t>
            </w:r>
            <w:r>
              <w:rPr>
                <w:rFonts w:hint="eastAsia" w:ascii="黑体" w:hAnsi="黑体" w:eastAsia="黑体" w:cs="黑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黑体" w:hAnsi="黑体" w:eastAsia="黑体" w:cs="黑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黑体" w:hAnsi="黑体" w:eastAsia="黑体" w:cs="黑体"/>
                <w:color w:val="000000"/>
                <w:sz w:val="20"/>
                <w:szCs w:val="20"/>
              </w:rPr>
              <w:t>■</w:t>
            </w:r>
            <w:r>
              <w:rPr>
                <w:rFonts w:hint="eastAsia" w:ascii="宋体"/>
                <w:color w:val="000000"/>
                <w:sz w:val="20"/>
                <w:szCs w:val="20"/>
              </w:rPr>
              <w:t>是□否</w:t>
            </w:r>
            <w:r>
              <w:rPr>
                <w:rFonts w:hint="eastAsia" w:ascii="黑体" w:hAnsi="黑体" w:eastAsia="黑体" w:cs="黑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16</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黑体" w:hAnsi="黑体" w:eastAsia="黑体" w:cs="黑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技术部</w:t>
            </w:r>
          </w:p>
          <w:p>
            <w:pPr>
              <w:spacing w:line="360" w:lineRule="auto"/>
              <w:rPr>
                <w:rFonts w:hint="eastAsia" w:ascii="宋体" w:hAnsi="宋体" w:eastAsia="宋体" w:cs="Times New Roman"/>
                <w:b/>
                <w:color w:val="000000"/>
                <w:sz w:val="20"/>
                <w:szCs w:val="20"/>
              </w:rPr>
            </w:pPr>
            <w:r>
              <w:rPr>
                <w:rFonts w:hint="eastAsia" w:ascii="宋体" w:hAnsi="宋体"/>
                <w:b/>
                <w:color w:val="000000"/>
                <w:sz w:val="20"/>
                <w:szCs w:val="20"/>
              </w:rPr>
              <w:t>重点审核过程：</w:t>
            </w:r>
            <w:r>
              <w:rPr>
                <w:rFonts w:hint="eastAsia" w:ascii="宋体" w:hAnsi="宋体" w:eastAsia="宋体" w:cs="Times New Roman"/>
                <w:b/>
                <w:color w:val="000000"/>
                <w:sz w:val="20"/>
                <w:szCs w:val="20"/>
              </w:rPr>
              <w:t>资质范围内的确权调查咨询服务，地理信息系统工程，工程测量，地理信息数据采集及处理</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综合管理部</w:t>
            </w:r>
          </w:p>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综合管理部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办公区域</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szCs w:val="21"/>
              </w:rPr>
              <w:t>建立有《内部审核控制程序》，于2020/</w:t>
            </w:r>
            <w:r>
              <w:rPr>
                <w:rFonts w:hint="eastAsia" w:ascii="宋体" w:hAnsi="宋体"/>
                <w:szCs w:val="21"/>
                <w:lang w:val="en-US" w:eastAsia="zh-CN"/>
              </w:rPr>
              <w:t>12</w:t>
            </w:r>
            <w:r>
              <w:rPr>
                <w:rFonts w:hint="eastAsia" w:ascii="宋体" w:hAnsi="宋体"/>
                <w:szCs w:val="21"/>
              </w:rPr>
              <w:t>/</w:t>
            </w:r>
            <w:r>
              <w:rPr>
                <w:rFonts w:hint="eastAsia" w:ascii="宋体" w:hAnsi="宋体"/>
                <w:szCs w:val="21"/>
                <w:lang w:val="en-US" w:eastAsia="zh-CN"/>
              </w:rPr>
              <w:t>1</w:t>
            </w:r>
            <w:r>
              <w:rPr>
                <w:rFonts w:hint="eastAsia" w:ascii="宋体" w:hAnsi="宋体"/>
                <w:szCs w:val="21"/>
              </w:rPr>
              <w:t>进行了内部审核。内部审核组组成：</w:t>
            </w:r>
            <w:r>
              <w:rPr>
                <w:rFonts w:hint="eastAsia" w:ascii="宋体" w:hAnsi="宋体"/>
                <w:szCs w:val="21"/>
                <w:lang w:val="en-US" w:eastAsia="zh-CN"/>
              </w:rPr>
              <w:t>肖华</w:t>
            </w:r>
            <w:r>
              <w:rPr>
                <w:rFonts w:hint="eastAsia" w:ascii="宋体" w:hAnsi="宋体"/>
                <w:szCs w:val="21"/>
              </w:rPr>
              <w:t xml:space="preserve">（组长）、 </w:t>
            </w:r>
            <w:r>
              <w:rPr>
                <w:rFonts w:hint="eastAsia" w:ascii="宋体" w:hAnsi="宋体"/>
                <w:szCs w:val="21"/>
                <w:lang w:val="en-US" w:eastAsia="zh-CN"/>
              </w:rPr>
              <w:t>钟微</w:t>
            </w:r>
            <w:r>
              <w:rPr>
                <w:rFonts w:hint="eastAsia" w:ascii="宋体" w:hAnsi="宋体"/>
                <w:szCs w:val="21"/>
              </w:rPr>
              <w:t>（组员）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val="0"/>
                <w:bCs/>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val="0"/>
                <w:bCs/>
                <w:color w:val="000000"/>
                <w:sz w:val="20"/>
                <w:szCs w:val="20"/>
                <w:lang w:eastAsia="zh-CN"/>
              </w:rPr>
              <w:t>（</w:t>
            </w:r>
            <w:r>
              <w:rPr>
                <w:rFonts w:hint="eastAsia" w:ascii="宋体" w:hAnsi="宋体"/>
                <w:b w:val="0"/>
                <w:bCs/>
                <w:color w:val="000000"/>
                <w:sz w:val="20"/>
                <w:szCs w:val="20"/>
                <w:lang w:val="en-US" w:eastAsia="zh-CN"/>
              </w:rPr>
              <w:t>1</w:t>
            </w:r>
            <w:r>
              <w:rPr>
                <w:rFonts w:hint="eastAsia" w:ascii="宋体" w:hAnsi="宋体"/>
                <w:b w:val="0"/>
                <w:bCs/>
                <w:color w:val="000000"/>
                <w:sz w:val="20"/>
                <w:szCs w:val="20"/>
                <w:lang w:eastAsia="zh-CN"/>
              </w:rPr>
              <w:t>）</w:t>
            </w:r>
            <w:r>
              <w:rPr>
                <w:rFonts w:hint="eastAsia" w:ascii="宋体" w:hAnsi="宋体"/>
                <w:b w:val="0"/>
                <w:bCs/>
                <w:color w:val="000000"/>
                <w:sz w:val="20"/>
                <w:szCs w:val="20"/>
                <w:lang w:val="en-US" w:eastAsia="zh-CN"/>
              </w:rPr>
              <w:t>审核范围：</w:t>
            </w:r>
            <w:r>
              <w:t>资质范围内的确权调查咨询服务，地理信息系统工程，工程测量，地理信息数据采集及处理</w:t>
            </w:r>
          </w:p>
          <w:p>
            <w:pPr>
              <w:spacing w:line="260" w:lineRule="exact"/>
              <w:rPr>
                <w:rFonts w:ascii="宋体"/>
                <w:b/>
                <w:color w:val="000000"/>
                <w:sz w:val="20"/>
                <w:szCs w:val="20"/>
              </w:rPr>
            </w:pPr>
            <w:r>
              <w:rPr>
                <w:rFonts w:hint="eastAsia" w:ascii="宋体" w:hAnsi="宋体"/>
                <w:b w:val="0"/>
                <w:bCs/>
                <w:color w:val="000000"/>
                <w:sz w:val="20"/>
                <w:szCs w:val="20"/>
                <w:lang w:val="en-US" w:eastAsia="zh-CN"/>
              </w:rPr>
              <w:t>（2）审核准则：ISO9001：2015、ISO14001：2015、ISO45001-2018标准所涉及的过程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b/>
                <w:color w:val="000000"/>
                <w:sz w:val="20"/>
                <w:szCs w:val="20"/>
              </w:rPr>
            </w:pPr>
            <w:r>
              <w:rPr>
                <w:rFonts w:hint="eastAsia" w:ascii="宋体" w:hAnsi="宋体"/>
                <w:b w:val="0"/>
                <w:bCs/>
                <w:color w:val="000000"/>
                <w:sz w:val="20"/>
                <w:szCs w:val="20"/>
              </w:rPr>
              <w:t>公司管理体系符合标准和公司管理体系规定，得到了有效实施与保持的信息。 质量、环境、职业健康安全体系的运行基本有效。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2020年</w:t>
            </w:r>
            <w:r>
              <w:rPr>
                <w:rFonts w:hint="eastAsia" w:ascii="宋体" w:hAnsi="宋体"/>
                <w:kern w:val="0"/>
                <w:szCs w:val="21"/>
                <w:lang w:val="en-US" w:eastAsia="zh-CN"/>
              </w:rPr>
              <w:t>12</w:t>
            </w:r>
            <w:r>
              <w:rPr>
                <w:rFonts w:hint="eastAsia" w:ascii="宋体" w:hAnsi="宋体"/>
                <w:kern w:val="0"/>
                <w:szCs w:val="21"/>
              </w:rPr>
              <w:t>月</w:t>
            </w:r>
            <w:r>
              <w:rPr>
                <w:rFonts w:hint="eastAsia" w:ascii="宋体" w:hAnsi="宋体"/>
                <w:kern w:val="0"/>
                <w:szCs w:val="21"/>
                <w:lang w:val="en-US" w:eastAsia="zh-CN"/>
              </w:rPr>
              <w:t>10</w:t>
            </w:r>
            <w:r>
              <w:rPr>
                <w:rFonts w:hint="eastAsia" w:ascii="宋体" w:hAnsi="宋体"/>
                <w:kern w:val="0"/>
                <w:szCs w:val="21"/>
              </w:rPr>
              <w:t>日由总经理主持</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val="0"/>
                <w:bCs/>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黑体" w:hAnsi="黑体" w:eastAsia="黑体" w:cs="黑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黑体" w:hAnsi="黑体" w:eastAsia="黑体" w:cs="黑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黑体" w:hAnsi="黑体" w:eastAsia="黑体" w:cs="黑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黑体" w:hAnsi="黑体" w:eastAsia="黑体" w:cs="黑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黑体" w:hAnsi="黑体" w:eastAsia="黑体" w:cs="黑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黑体" w:hAnsi="黑体" w:eastAsia="黑体" w:cs="黑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黑体" w:hAnsi="黑体" w:eastAsia="黑体" w:cs="黑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黑体" w:hAnsi="黑体" w:eastAsia="黑体" w:cs="黑体"/>
                <w:b/>
                <w:color w:val="000000"/>
                <w:spacing w:val="-10"/>
                <w:sz w:val="20"/>
                <w:szCs w:val="20"/>
                <w:lang w:val="de-DE" w:eastAsia="zh-CN"/>
              </w:rPr>
              <w:t>■</w:t>
            </w:r>
            <w:r>
              <w:rPr>
                <w:rFonts w:ascii="宋体" w:hAnsi="宋体"/>
                <w:b/>
                <w:color w:val="000000"/>
                <w:sz w:val="20"/>
                <w:szCs w:val="20"/>
              </w:rPr>
              <w:t>QMS /</w:t>
            </w:r>
            <w:r>
              <w:rPr>
                <w:rFonts w:hint="eastAsia" w:ascii="黑体" w:hAnsi="黑体" w:eastAsia="黑体" w:cs="黑体"/>
                <w:b/>
                <w:color w:val="000000"/>
                <w:spacing w:val="-10"/>
                <w:sz w:val="20"/>
                <w:szCs w:val="20"/>
                <w:lang w:val="de-DE"/>
              </w:rPr>
              <w:t>■</w:t>
            </w:r>
            <w:r>
              <w:rPr>
                <w:rFonts w:ascii="宋体" w:hAnsi="宋体"/>
                <w:b/>
                <w:color w:val="000000"/>
                <w:sz w:val="20"/>
                <w:szCs w:val="20"/>
              </w:rPr>
              <w:t>EMS/</w:t>
            </w:r>
            <w:r>
              <w:rPr>
                <w:rFonts w:hint="eastAsia" w:ascii="黑体" w:hAnsi="黑体" w:eastAsia="黑体" w:cs="黑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黑体" w:hAnsi="黑体" w:eastAsia="黑体" w:cs="黑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黑体" w:hAnsi="黑体" w:eastAsia="黑体" w:cs="黑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u w:val="single"/>
        </w:rPr>
      </w:pPr>
      <w:r>
        <w:rPr>
          <w:rFonts w:ascii="宋体" w:hAnsi="宋体"/>
          <w:b/>
          <w:color w:val="000000"/>
          <w:sz w:val="20"/>
          <w:szCs w:val="20"/>
        </w:rPr>
        <w:t>QMS:</w:t>
      </w:r>
      <w:r>
        <w:rPr>
          <w:rFonts w:hint="eastAsia" w:ascii="宋体" w:hAnsi="宋体" w:eastAsia="宋体" w:cs="Times New Roman"/>
          <w:b/>
          <w:color w:val="000000"/>
          <w:sz w:val="20"/>
          <w:szCs w:val="20"/>
          <w:u w:val="single"/>
        </w:rPr>
        <w:t>资质范围内的确权调查咨询服务，地理信息系统工程，工程测量，地理信息数据采集及处理</w:t>
      </w:r>
    </w:p>
    <w:p>
      <w:pPr>
        <w:spacing w:line="300" w:lineRule="auto"/>
        <w:ind w:firstLine="201" w:firstLineChars="100"/>
        <w:rPr>
          <w:rFonts w:hint="eastAsia" w:ascii="宋体" w:hAnsi="宋体" w:eastAsia="宋体" w:cs="Times New Roman"/>
          <w:b/>
          <w:color w:val="000000"/>
          <w:sz w:val="20"/>
          <w:szCs w:val="20"/>
          <w:u w:val="single"/>
        </w:rPr>
      </w:pPr>
      <w:r>
        <w:rPr>
          <w:rFonts w:ascii="宋体" w:hAnsi="宋体"/>
          <w:b/>
          <w:color w:val="000000"/>
          <w:sz w:val="20"/>
          <w:szCs w:val="20"/>
        </w:rPr>
        <w:t>EMS</w:t>
      </w:r>
      <w:r>
        <w:rPr>
          <w:rFonts w:ascii="宋体" w:hAnsi="宋体"/>
          <w:b/>
          <w:color w:val="000000"/>
          <w:sz w:val="20"/>
          <w:szCs w:val="20"/>
          <w:lang w:val="en-GB"/>
        </w:rPr>
        <w:t>:</w:t>
      </w:r>
      <w:r>
        <w:rPr>
          <w:rFonts w:hint="eastAsia" w:ascii="宋体" w:hAnsi="宋体" w:eastAsia="宋体" w:cs="Times New Roman"/>
          <w:b/>
          <w:color w:val="000000"/>
          <w:sz w:val="20"/>
          <w:szCs w:val="20"/>
          <w:u w:val="single"/>
        </w:rPr>
        <w:t>资质范围内的确权调查咨询服务，地理信息系统工程，工程测量，地理信息数据采集及处理相关的环境管理活动</w:t>
      </w:r>
    </w:p>
    <w:p>
      <w:pPr>
        <w:spacing w:line="300" w:lineRule="auto"/>
        <w:ind w:firstLine="201" w:firstLineChars="100"/>
        <w:rPr>
          <w:rFonts w:hint="eastAsia" w:ascii="宋体" w:hAnsi="宋体" w:eastAsia="宋体" w:cs="Times New Roman"/>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eastAsia="宋体" w:cs="Times New Roman"/>
          <w:b/>
          <w:color w:val="000000"/>
          <w:sz w:val="20"/>
          <w:szCs w:val="20"/>
          <w:u w:val="single"/>
        </w:rPr>
        <w:t>资质范围内的确权调查咨询服务，地理信息系统工程，工程测量，地理信息数据采集及处理相关的职业健康管理活动</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3360" behindDoc="0" locked="0" layoutInCell="1" allowOverlap="1">
            <wp:simplePos x="0" y="0"/>
            <wp:positionH relativeFrom="column">
              <wp:posOffset>2082165</wp:posOffset>
            </wp:positionH>
            <wp:positionV relativeFrom="paragraph">
              <wp:posOffset>252095</wp:posOffset>
            </wp:positionV>
            <wp:extent cx="757555" cy="419735"/>
            <wp:effectExtent l="0" t="0" r="4445" b="12065"/>
            <wp:wrapNone/>
            <wp:docPr id="17" name="图片 1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83" w:firstLineChars="400"/>
        <w:rPr>
          <w:rFonts w:hint="default" w:ascii="宋体" w:eastAsia="宋体"/>
          <w:b/>
          <w:color w:val="000000"/>
          <w:lang w:val="en-US" w:eastAsia="zh-CN"/>
        </w:rPr>
      </w:pPr>
      <w:r>
        <w:rPr>
          <w:rFonts w:hint="eastAsia"/>
          <w:b/>
          <w:sz w:val="22"/>
          <w:szCs w:val="22"/>
        </w:rPr>
        <w:drawing>
          <wp:anchor distT="0" distB="0" distL="114300" distR="114300" simplePos="0" relativeHeight="251662336" behindDoc="0" locked="0" layoutInCell="1" allowOverlap="1">
            <wp:simplePos x="0" y="0"/>
            <wp:positionH relativeFrom="column">
              <wp:posOffset>2059940</wp:posOffset>
            </wp:positionH>
            <wp:positionV relativeFrom="paragraph">
              <wp:posOffset>19685</wp:posOffset>
            </wp:positionV>
            <wp:extent cx="422910" cy="320040"/>
            <wp:effectExtent l="0" t="0" r="8890" b="10160"/>
            <wp:wrapNone/>
            <wp:docPr id="16" name="图片 16"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2797810</wp:posOffset>
            </wp:positionH>
            <wp:positionV relativeFrom="paragraph">
              <wp:posOffset>75565</wp:posOffset>
            </wp:positionV>
            <wp:extent cx="476250" cy="237490"/>
            <wp:effectExtent l="0" t="0" r="6350" b="3810"/>
            <wp:wrapNone/>
            <wp:docPr id="6" name="图片 6"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d23edb0d814701504dd7deb97d797b"/>
                    <pic:cNvPicPr>
                      <a:picLocks noChangeAspect="1"/>
                    </pic:cNvPicPr>
                  </pic:nvPicPr>
                  <pic:blipFill>
                    <a:blip r:embed="rId8"/>
                    <a:srcRect l="10377" t="24118" r="4335" b="17353"/>
                    <a:stretch>
                      <a:fillRect/>
                    </a:stretch>
                  </pic:blipFill>
                  <pic:spPr>
                    <a:xfrm>
                      <a:off x="0" y="0"/>
                      <a:ext cx="476250" cy="23749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2021年4月18日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 xml:space="preserve">                                              </w:t>
            </w:r>
          </w:p>
          <w:p>
            <w:pPr>
              <w:spacing w:line="280" w:lineRule="exact"/>
              <w:rPr>
                <w:b/>
                <w:color w:val="000000"/>
                <w:sz w:val="22"/>
                <w:szCs w:val="22"/>
              </w:rPr>
            </w:pP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bookmarkStart w:id="24" w:name="_GoBack"/>
            <w:bookmarkEnd w:id="24"/>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2051"/>
        <o:r id="V:Rule2"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7A5C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2021-04-20T15:54:25Z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855ED3F3B0F9444DAE32A54F80C3E852</vt:lpwstr>
  </property>
</Properties>
</file>