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黑龙江精臻科技发展有限公司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汪桂丽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黑龙江精臻科技发展有限公司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哈尔滨市南岗区红旗大街160号北辰国际D栋12层A号房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哈尔滨市南岗区红旗大街160号北辰国际D栋12层A号房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禹东强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0451-51056163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禹东强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禹东强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Q：无人机销售及售后服务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E：无人机销售及售后服务所涉及场所的相关环境管理活动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O：无人机销售及售后服务所涉及场所的相关职业健康安全管理活动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both"/>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jc w:val="both"/>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jc w:val="both"/>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无人机销售及售后服务</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销售、售后</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b/>
                <w:color w:val="000000" w:themeColor="text1"/>
                <w:sz w:val="20"/>
                <w:szCs w:val="20"/>
              </w:rPr>
            </w:pPr>
            <w:r>
              <w:rPr>
                <w:rFonts w:hint="default" w:ascii="宋体" w:hAnsi="宋体" w:eastAsia="宋体" w:cs="Times New Roman"/>
                <w:color w:val="000000"/>
                <w:sz w:val="20"/>
                <w:szCs w:val="20"/>
              </w:rPr>
              <w:t>无人机航摄安全作业基本要求</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无人机航摄系统技术要求</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无人机云系统接口数据规范</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无人机云系统数据规范</w:t>
            </w:r>
            <w:r>
              <w:rPr>
                <w:rFonts w:hint="eastAsia" w:ascii="宋体" w:hAnsi="宋体" w:eastAsia="宋体" w:cs="Times New Roman"/>
                <w:color w:val="000000"/>
                <w:sz w:val="20"/>
                <w:szCs w:val="20"/>
                <w:lang w:eastAsia="zh-CN"/>
              </w:rPr>
              <w:t>、</w:t>
            </w:r>
            <w:r>
              <w:rPr>
                <w:rFonts w:hint="default" w:ascii="宋体" w:hAnsi="宋体" w:eastAsia="宋体" w:cs="Times New Roman"/>
                <w:color w:val="000000"/>
                <w:sz w:val="20"/>
                <w:szCs w:val="20"/>
              </w:rPr>
              <w:t>民用轻小型固定翼无人机飞行控制系统通用要求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eastAsia="宋体" w:cs="宋体"/>
              </w:rPr>
            </w:pPr>
            <w:r>
              <w:rPr>
                <w:rFonts w:hint="eastAsia" w:ascii="Times New Roman" w:hAnsi="Times New Roman" w:eastAsia="宋体" w:cs="宋体"/>
              </w:rPr>
              <w:t>1.管理方针：顾客至上，质量为先；强化管理，持续改进；</w:t>
            </w:r>
          </w:p>
          <w:p>
            <w:pPr>
              <w:keepNext w:val="0"/>
              <w:keepLines w:val="0"/>
              <w:pageBreakBefore w:val="0"/>
              <w:kinsoku/>
              <w:wordWrap/>
              <w:overflowPunct/>
              <w:topLinePunct w:val="0"/>
              <w:bidi w:val="0"/>
              <w:snapToGrid/>
              <w:spacing w:line="360" w:lineRule="exact"/>
              <w:ind w:firstLine="1260" w:firstLineChars="600"/>
              <w:textAlignment w:val="auto"/>
              <w:rPr>
                <w:rFonts w:hint="eastAsia" w:ascii="Times New Roman" w:hAnsi="Times New Roman" w:eastAsia="宋体" w:cs="宋体"/>
                <w:lang w:eastAsia="zh-CN"/>
              </w:rPr>
            </w:pPr>
            <w:r>
              <w:rPr>
                <w:rFonts w:hint="eastAsia" w:ascii="Times New Roman" w:hAnsi="Times New Roman" w:eastAsia="宋体" w:cs="宋体"/>
              </w:rPr>
              <w:t>环保美观，结构合理，关爱环境，预防污染</w:t>
            </w:r>
            <w:r>
              <w:rPr>
                <w:rFonts w:hint="eastAsia" w:ascii="Times New Roman" w:hAnsi="Times New Roman" w:eastAsia="宋体" w:cs="宋体"/>
                <w:lang w:eastAsia="zh-CN"/>
              </w:rPr>
              <w:t>；</w:t>
            </w:r>
          </w:p>
          <w:p>
            <w:pPr>
              <w:keepNext w:val="0"/>
              <w:keepLines w:val="0"/>
              <w:pageBreakBefore w:val="0"/>
              <w:kinsoku/>
              <w:wordWrap/>
              <w:overflowPunct/>
              <w:topLinePunct w:val="0"/>
              <w:bidi w:val="0"/>
              <w:snapToGrid/>
              <w:spacing w:line="360" w:lineRule="exact"/>
              <w:ind w:firstLine="1260" w:firstLineChars="600"/>
              <w:textAlignment w:val="auto"/>
              <w:rPr>
                <w:rFonts w:hint="eastAsia" w:eastAsia="宋体"/>
                <w:lang w:val="en-US" w:eastAsia="zh-CN"/>
              </w:rPr>
            </w:pPr>
            <w:r>
              <w:rPr>
                <w:rFonts w:hint="eastAsia" w:ascii="Times New Roman" w:hAnsi="Times New Roman" w:eastAsia="宋体" w:cs="宋体"/>
              </w:rPr>
              <w:t>关爱生命，关注安全，遵规守法</w:t>
            </w:r>
            <w:r>
              <w:rPr>
                <w:rFonts w:hint="eastAsia" w:ascii="Times New Roman" w:hAnsi="Times New Roman" w:eastAsia="宋体" w:cs="宋体"/>
                <w:lang w:eastAsia="zh-CN"/>
              </w:rPr>
              <w:t>，</w:t>
            </w:r>
            <w:r>
              <w:rPr>
                <w:rFonts w:hint="eastAsia" w:ascii="Times New Roman" w:hAnsi="Times New Roman" w:eastAsia="宋体" w:cs="宋体"/>
              </w:rPr>
              <w:t>降低风险</w:t>
            </w:r>
            <w:r>
              <w:rPr>
                <w:rFonts w:hint="eastAsia" w:ascii="Times New Roman" w:hAnsi="Times New Roman" w:eastAsia="宋体" w:cs="宋体"/>
                <w:lang w:eastAsia="zh-CN"/>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spacing w:line="240" w:lineRule="exact"/>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如客户需求波动较大，导致供货跟不上，由</w:t>
            </w:r>
            <w:r>
              <w:rPr>
                <w:rFonts w:hint="eastAsia"/>
                <w:lang w:val="en-US" w:eastAsia="zh-CN"/>
              </w:rPr>
              <w:t>业务部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ascii="宋体" w:hAnsi="Times New Roman" w:eastAsia="宋体" w:cs="Times New Roman"/>
                <w:color w:val="000000"/>
                <w:sz w:val="20"/>
                <w:szCs w:val="20"/>
              </w:rPr>
              <w:t>火灾</w:t>
            </w:r>
            <w:r>
              <w:rPr>
                <w:rFonts w:hint="eastAsia" w:ascii="宋体" w:hAnsi="Times New Roman" w:eastAsia="宋体" w:cs="Times New Roman"/>
                <w:color w:val="000000"/>
                <w:sz w:val="20"/>
                <w:szCs w:val="20"/>
                <w:lang w:val="en-US" w:eastAsia="zh-CN"/>
              </w:rPr>
              <w:t>事故</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lang w:val="en-US" w:eastAsia="zh-CN"/>
              </w:rPr>
              <w:t>触电事故、交通事故</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4"/>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质量、环境及职业健康安全目标</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1、顾客满意度≥90 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2、及时交付率 100%；</w:t>
            </w:r>
          </w:p>
          <w:p>
            <w:pPr>
              <w:pStyle w:val="4"/>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3、火灾事故为 0；</w:t>
            </w:r>
          </w:p>
          <w:p>
            <w:pPr>
              <w:pStyle w:val="4"/>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4、固废分类回收率100%；</w:t>
            </w:r>
          </w:p>
          <w:p>
            <w:pPr>
              <w:pStyle w:val="4"/>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5、触电事故为0；</w:t>
            </w:r>
          </w:p>
          <w:p>
            <w:pPr>
              <w:pStyle w:val="4"/>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6、交通事故为0。</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月</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10月-2021年3月</w:t>
            </w:r>
            <w:r>
              <w:rPr>
                <w:rFonts w:hint="eastAsia" w:ascii="Times New Roman" w:hAnsi="Times New Roman" w:cs="宋体"/>
                <w:lang w:val="en-US" w:eastAsia="zh-CN"/>
              </w:rPr>
              <w:t>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办公室</w:t>
            </w:r>
            <w:r>
              <w:rPr>
                <w:rFonts w:hint="eastAsia" w:ascii="Times New Roman" w:hAnsi="Times New Roman" w:cs="宋体"/>
              </w:rPr>
              <w:t>组织编写，总经理批准发布实施，</w:t>
            </w:r>
            <w:r>
              <w:rPr>
                <w:rFonts w:hint="eastAsia" w:cs="宋体"/>
                <w:lang w:eastAsia="zh-CN"/>
              </w:rPr>
              <w:t>行政部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20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Times New Roman" w:hAnsi="Times New Roman" w:eastAsia="宋体" w:cs="宋体"/>
                <w:lang w:val="en-US" w:eastAsia="zh-CN"/>
              </w:rPr>
              <w:t>办公经营地点位于哈尔滨市南岗区红旗大街160号北辰国际D栋12层A号房，</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300平米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lang w:eastAsia="zh-CN"/>
              </w:rPr>
              <w:t>、</w:t>
            </w:r>
            <w:r>
              <w:rPr>
                <w:rFonts w:hint="default" w:ascii="Times New Roman" w:hAnsi="Times New Roman" w:eastAsia="宋体" w:cs="Times New Roman"/>
              </w:rPr>
              <w:t>无人机航摄安全作业基本要求</w:t>
            </w:r>
            <w:r>
              <w:rPr>
                <w:rFonts w:hint="eastAsia" w:ascii="Times New Roman" w:hAnsi="Times New Roman" w:eastAsia="宋体" w:cs="Times New Roman"/>
                <w:lang w:eastAsia="zh-CN"/>
              </w:rPr>
              <w:t>、</w:t>
            </w:r>
            <w:r>
              <w:rPr>
                <w:rFonts w:hint="default" w:ascii="Times New Roman" w:hAnsi="Times New Roman" w:eastAsia="宋体" w:cs="Times New Roman"/>
              </w:rPr>
              <w:t>无人机航摄系统技术要求</w:t>
            </w:r>
            <w:r>
              <w:rPr>
                <w:rFonts w:hint="eastAsia" w:ascii="Times New Roman" w:hAnsi="Times New Roman" w:eastAsia="宋体" w:cs="Times New Roman"/>
                <w:lang w:eastAsia="zh-CN"/>
              </w:rPr>
              <w:t>、</w:t>
            </w:r>
            <w:r>
              <w:rPr>
                <w:rFonts w:hint="default" w:ascii="Times New Roman" w:hAnsi="Times New Roman" w:eastAsia="宋体" w:cs="Times New Roman"/>
              </w:rPr>
              <w:t>无人机云系统接口数据规范</w:t>
            </w:r>
            <w:r>
              <w:rPr>
                <w:rFonts w:hint="eastAsia" w:ascii="Times New Roman" w:hAnsi="Times New Roman" w:eastAsia="宋体" w:cs="Times New Roman"/>
                <w:lang w:eastAsia="zh-CN"/>
              </w:rPr>
              <w:t>、</w:t>
            </w:r>
            <w:r>
              <w:rPr>
                <w:rFonts w:hint="default" w:ascii="Times New Roman" w:hAnsi="Times New Roman" w:eastAsia="宋体" w:cs="Times New Roman"/>
              </w:rPr>
              <w:t>无人机云系统数据规范</w:t>
            </w:r>
            <w:r>
              <w:rPr>
                <w:rFonts w:hint="eastAsia" w:ascii="Times New Roman" w:hAnsi="Times New Roman" w:eastAsia="宋体" w:cs="Times New Roman"/>
                <w:lang w:eastAsia="zh-CN"/>
              </w:rPr>
              <w:t>、</w:t>
            </w:r>
            <w:r>
              <w:rPr>
                <w:rFonts w:hint="default" w:ascii="Times New Roman" w:hAnsi="Times New Roman" w:eastAsia="宋体" w:cs="Times New Roman"/>
              </w:rPr>
              <w:t>民用轻小型固定翼无人机飞行控制系统通用要求</w:t>
            </w:r>
            <w:r>
              <w:rPr>
                <w:rFonts w:hint="eastAsia" w:ascii="Times New Roman" w:hAnsi="Times New Roman" w:eastAsia="宋体" w:cs="Times New Roman"/>
              </w:rPr>
              <w:t>等法</w:t>
            </w:r>
            <w:r>
              <w:rPr>
                <w:rFonts w:hint="eastAsia"/>
                <w:sz w:val="21"/>
                <w:szCs w:val="21"/>
              </w:rPr>
              <w:t>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eastAsia="宋体" w:cs="宋体"/>
              </w:rPr>
            </w:pPr>
            <w:r>
              <w:rPr>
                <w:rFonts w:hint="eastAsia" w:ascii="Times New Roman" w:hAnsi="Times New Roman" w:eastAsia="宋体" w:cs="宋体"/>
              </w:rPr>
              <w:t>1.管理方针：顾客至上，质量为先；强化管理，持续改进；</w:t>
            </w:r>
          </w:p>
          <w:p>
            <w:pPr>
              <w:keepNext w:val="0"/>
              <w:keepLines w:val="0"/>
              <w:pageBreakBefore w:val="0"/>
              <w:kinsoku/>
              <w:wordWrap/>
              <w:overflowPunct/>
              <w:topLinePunct w:val="0"/>
              <w:bidi w:val="0"/>
              <w:snapToGrid/>
              <w:spacing w:line="360" w:lineRule="exact"/>
              <w:ind w:firstLine="1260" w:firstLineChars="600"/>
              <w:textAlignment w:val="auto"/>
              <w:rPr>
                <w:rFonts w:hint="eastAsia" w:ascii="Times New Roman" w:hAnsi="Times New Roman" w:eastAsia="宋体" w:cs="宋体"/>
                <w:lang w:eastAsia="zh-CN"/>
              </w:rPr>
            </w:pPr>
            <w:r>
              <w:rPr>
                <w:rFonts w:hint="eastAsia" w:ascii="Times New Roman" w:hAnsi="Times New Roman" w:eastAsia="宋体" w:cs="宋体"/>
              </w:rPr>
              <w:t>环保美观，结构合理，关爱环境，预防污染</w:t>
            </w:r>
            <w:r>
              <w:rPr>
                <w:rFonts w:hint="eastAsia" w:ascii="Times New Roman" w:hAnsi="Times New Roman" w:eastAsia="宋体" w:cs="宋体"/>
                <w:lang w:eastAsia="zh-CN"/>
              </w:rPr>
              <w:t>；</w:t>
            </w:r>
          </w:p>
          <w:p>
            <w:pPr>
              <w:keepNext w:val="0"/>
              <w:keepLines w:val="0"/>
              <w:pageBreakBefore w:val="0"/>
              <w:kinsoku/>
              <w:wordWrap/>
              <w:overflowPunct/>
              <w:topLinePunct w:val="0"/>
              <w:bidi w:val="0"/>
              <w:snapToGrid/>
              <w:spacing w:line="360" w:lineRule="exact"/>
              <w:ind w:firstLine="1260" w:firstLineChars="600"/>
              <w:textAlignment w:val="auto"/>
              <w:rPr>
                <w:rFonts w:hint="eastAsia" w:eastAsia="宋体"/>
                <w:lang w:val="en-US" w:eastAsia="zh-CN"/>
              </w:rPr>
            </w:pPr>
            <w:r>
              <w:rPr>
                <w:rFonts w:hint="eastAsia" w:ascii="Times New Roman" w:hAnsi="Times New Roman" w:eastAsia="宋体" w:cs="宋体"/>
              </w:rPr>
              <w:t>关爱生命，关注安全，遵规守法</w:t>
            </w:r>
            <w:r>
              <w:rPr>
                <w:rFonts w:hint="eastAsia" w:ascii="Times New Roman" w:hAnsi="Times New Roman" w:eastAsia="宋体" w:cs="宋体"/>
                <w:lang w:eastAsia="zh-CN"/>
              </w:rPr>
              <w:t>，</w:t>
            </w:r>
            <w:r>
              <w:rPr>
                <w:rFonts w:hint="eastAsia" w:ascii="Times New Roman" w:hAnsi="Times New Roman" w:eastAsia="宋体" w:cs="宋体"/>
              </w:rPr>
              <w:t>降低风险</w:t>
            </w:r>
            <w:r>
              <w:rPr>
                <w:rFonts w:hint="eastAsia" w:ascii="Times New Roman" w:hAnsi="Times New Roman" w:eastAsia="宋体" w:cs="宋体"/>
                <w:lang w:eastAsia="zh-CN"/>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spacing w:line="300" w:lineRule="exact"/>
              <w:ind w:left="1"/>
              <w:rPr>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销售部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w:t>
            </w:r>
            <w:r>
              <w:rPr>
                <w:rFonts w:hint="eastAsia"/>
                <w:b w:val="0"/>
                <w:bCs w:val="0"/>
                <w:sz w:val="21"/>
                <w:szCs w:val="21"/>
                <w:lang w:val="en-US" w:eastAsia="zh-CN"/>
              </w:rPr>
              <w:t>无人机及相应配件</w:t>
            </w:r>
            <w:r>
              <w:rPr>
                <w:rFonts w:hint="eastAsia"/>
                <w:sz w:val="21"/>
                <w:szCs w:val="21"/>
                <w:lang w:val="en-US" w:eastAsia="zh-CN"/>
              </w:rPr>
              <w:t>，</w:t>
            </w:r>
            <w:r>
              <w:rPr>
                <w:rFonts w:hint="eastAsia"/>
                <w:sz w:val="21"/>
                <w:szCs w:val="21"/>
              </w:rPr>
              <w:t>编制采购产品验收规范等作业文件规定采购产品质量要求；其次对供方进行了评价。</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回款制度》，由销售部负责人组织人员、物资等资源进行销售服务，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spacing w:line="240" w:lineRule="exact"/>
              <w:rPr>
                <w:b/>
                <w:color w:val="000000" w:themeColor="text1"/>
                <w:sz w:val="20"/>
                <w:szCs w:val="20"/>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ascii="方正仿宋简体" w:eastAsia="方正仿宋简体"/>
                <w:b w:val="0"/>
                <w:bCs/>
                <w:lang w:val="en-US" w:eastAsia="zh-CN"/>
              </w:rPr>
              <w:t>。</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GB" w:eastAsia="zh-CN"/>
              </w:rPr>
              <w:t>、</w:t>
            </w:r>
            <w:r>
              <w:rPr>
                <w:rFonts w:hint="eastAsia"/>
                <w:sz w:val="21"/>
                <w:szCs w:val="21"/>
                <w:lang w:val="en-US" w:eastAsia="zh-CN"/>
              </w:rPr>
              <w:t>触电演练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月</w:t>
            </w:r>
            <w:r>
              <w:rPr>
                <w:rFonts w:hint="eastAsia"/>
                <w:sz w:val="21"/>
                <w:szCs w:val="21"/>
              </w:rPr>
              <w:t>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10月-2021年3月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91</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21年3月15日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21</w:t>
            </w:r>
            <w:r>
              <w:rPr>
                <w:rFonts w:hint="eastAsia" w:cs="宋体"/>
              </w:rPr>
              <w:t>年</w:t>
            </w:r>
            <w:r>
              <w:rPr>
                <w:rFonts w:hint="eastAsia" w:cs="宋体"/>
                <w:lang w:val="en-US" w:eastAsia="zh-CN"/>
              </w:rPr>
              <w:t>3</w:t>
            </w:r>
            <w:r>
              <w:rPr>
                <w:rFonts w:hint="eastAsia" w:cs="宋体"/>
              </w:rPr>
              <w:t>月</w:t>
            </w:r>
            <w:r>
              <w:rPr>
                <w:rFonts w:hint="eastAsia" w:cs="宋体"/>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w:t>
      </w:r>
      <w:r>
        <w:rPr>
          <w:rFonts w:hint="eastAsia"/>
          <w:b/>
          <w:color w:val="000000" w:themeColor="text1"/>
          <w:lang w:val="en-US" w:eastAsia="zh-CN"/>
        </w:rPr>
        <w:t>办公室</w:t>
      </w:r>
      <w:r>
        <w:rPr>
          <w:rFonts w:hint="eastAsia"/>
          <w:b/>
          <w:color w:val="000000" w:themeColor="text1"/>
        </w:rPr>
        <w:t>部门条款</w:t>
      </w:r>
      <w:r>
        <w:rPr>
          <w:rFonts w:hint="eastAsia"/>
          <w:b/>
          <w:color w:val="000000" w:themeColor="text1"/>
          <w:lang w:val="en-US" w:eastAsia="zh-CN"/>
        </w:rPr>
        <w:t>Q7.3/E7.3/O7.3</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b/>
                <w:color w:val="000000" w:themeColor="text1"/>
                <w:sz w:val="20"/>
                <w:szCs w:val="20"/>
                <w:u w:val="single"/>
              </w:rPr>
              <w:t>黑龙江精臻科技发展有限公司</w:t>
            </w:r>
            <w:r>
              <w:rPr>
                <w:rFonts w:hint="eastAsia" w:ascii="Times New Roman" w:hAnsi="Times New Roman" w:eastAsia="宋体" w:cs="Times New Roman"/>
                <w:color w:val="auto"/>
                <w:kern w:val="2"/>
                <w:sz w:val="21"/>
                <w:szCs w:val="21"/>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9"/>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0288" behindDoc="0" locked="0" layoutInCell="1" allowOverlap="1">
            <wp:simplePos x="0" y="0"/>
            <wp:positionH relativeFrom="column">
              <wp:posOffset>1485900</wp:posOffset>
            </wp:positionH>
            <wp:positionV relativeFrom="paragraph">
              <wp:posOffset>351790</wp:posOffset>
            </wp:positionV>
            <wp:extent cx="731520" cy="388620"/>
            <wp:effectExtent l="0" t="0" r="0" b="7620"/>
            <wp:wrapNone/>
            <wp:docPr id="3" name="图片 3"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蒙生"/>
                    <pic:cNvPicPr>
                      <a:picLocks noChangeAspect="1"/>
                    </pic:cNvPicPr>
                  </pic:nvPicPr>
                  <pic:blipFill>
                    <a:blip r:embed="rId6"/>
                    <a:stretch>
                      <a:fillRect/>
                    </a:stretch>
                  </pic:blipFill>
                  <pic:spPr>
                    <a:xfrm>
                      <a:off x="0" y="0"/>
                      <a:ext cx="731520" cy="3886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1485900</wp:posOffset>
            </wp:positionH>
            <wp:positionV relativeFrom="paragraph">
              <wp:posOffset>391160</wp:posOffset>
            </wp:positionV>
            <wp:extent cx="1009015" cy="510540"/>
            <wp:effectExtent l="0" t="0" r="12065" b="7620"/>
            <wp:wrapNone/>
            <wp:docPr id="4" name="图片 4" descr="161940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9405701"/>
                    <pic:cNvPicPr>
                      <a:picLocks noChangeAspect="1"/>
                    </pic:cNvPicPr>
                  </pic:nvPicPr>
                  <pic:blipFill>
                    <a:blip r:embed="rId7"/>
                    <a:stretch>
                      <a:fillRect/>
                    </a:stretch>
                  </pic:blipFill>
                  <pic:spPr>
                    <a:xfrm>
                      <a:off x="0" y="0"/>
                      <a:ext cx="1009015" cy="510540"/>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701040</wp:posOffset>
            </wp:positionH>
            <wp:positionV relativeFrom="paragraph">
              <wp:posOffset>146685</wp:posOffset>
            </wp:positionV>
            <wp:extent cx="731520" cy="388620"/>
            <wp:effectExtent l="0" t="0" r="0" b="7620"/>
            <wp:wrapNone/>
            <wp:docPr id="5" name="图片 5"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蒙生"/>
                    <pic:cNvPicPr>
                      <a:picLocks noChangeAspect="1"/>
                    </pic:cNvPicPr>
                  </pic:nvPicPr>
                  <pic:blipFill>
                    <a:blip r:embed="rId6"/>
                    <a:stretch>
                      <a:fillRect/>
                    </a:stretch>
                  </pic:blipFill>
                  <pic:spPr>
                    <a:xfrm>
                      <a:off x="0" y="0"/>
                      <a:ext cx="731520" cy="3886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26</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C197EA"/>
    <w:multiLevelType w:val="singleLevel"/>
    <w:tmpl w:val="50C197EA"/>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BD6F5C"/>
    <w:rsid w:val="079A5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iPriority w:val="0"/>
    <w:pPr>
      <w:spacing w:after="120"/>
    </w:pPr>
  </w:style>
  <w:style w:type="paragraph" w:styleId="4">
    <w:name w:val="Plain Text"/>
    <w:basedOn w:val="1"/>
    <w:uiPriority w:val="0"/>
    <w:rPr>
      <w:rFonts w:ascii="宋体"/>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3"/>
    <w:qFormat/>
    <w:uiPriority w:val="0"/>
    <w:pPr>
      <w:ind w:firstLine="420" w:firstLineChars="100"/>
    </w:pPr>
    <w:rPr>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2"/>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2021-04-26T02:56:04Z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269285471_btnclosed</vt:lpwstr>
  </property>
  <property fmtid="{D5CDD505-2E9C-101B-9397-08002B2CF9AE}" pid="4" name="ICV">
    <vt:lpwstr>FF9C0D25B5AA4E98A52C3D1FF3438BA1</vt:lpwstr>
  </property>
</Properties>
</file>