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绵竹市佳伦包装印务有限公司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杨旸</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绵竹市佳伦包装印务有限公司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四川省绵竹市新市场镇</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618209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四川省绵竹市新市场镇</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618209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杨玲</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13778274722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胡加伦</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包装装潢印刷品印刷（限许可范围内）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09.01.02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包装装潢印刷品印刷（限许可范围内）</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Arial"/>
                <w:szCs w:val="21"/>
                <w:shd w:val="clear" w:color="auto" w:fill="FFFFFF"/>
                <w:lang w:val="en-US" w:eastAsia="zh-CN"/>
              </w:rPr>
              <w:t>GB/T6543-----2008标准、GB/T6543-----2008标准等</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质量第一、顾客至上、全员参与、追求卓越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rPr>
                <w:rFonts w:hint="eastAsia"/>
                <w:b w:val="0"/>
                <w:bCs/>
                <w:sz w:val="20"/>
                <w:highlight w:val="none"/>
                <w:lang w:val="en-US" w:eastAsia="zh-CN"/>
              </w:rPr>
            </w:pPr>
          </w:p>
          <w:p>
            <w:pPr>
              <w:rPr>
                <w:rFonts w:hint="eastAsia" w:ascii="Times New Roman" w:hAnsi="Times New Roman" w:eastAsia="宋体" w:cs="Times New Roman"/>
                <w:b w:val="0"/>
                <w:bCs/>
                <w:sz w:val="20"/>
                <w:highlight w:val="none"/>
              </w:rPr>
            </w:pPr>
            <w:r>
              <w:rPr>
                <w:rFonts w:hint="eastAsia"/>
                <w:b w:val="0"/>
                <w:bCs/>
                <w:sz w:val="20"/>
                <w:highlight w:val="none"/>
                <w:lang w:val="en-US" w:eastAsia="zh-CN"/>
              </w:rPr>
              <w:t>原材</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瓦楞制作</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纵切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横切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堆码</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印刷</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装订</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入库</w:t>
            </w:r>
          </w:p>
          <w:p>
            <w:pPr>
              <w:adjustRightInd w:val="0"/>
              <w:snapToGrid w:val="0"/>
              <w:spacing w:line="400" w:lineRule="exact"/>
              <w:rPr>
                <w:rFonts w:hint="eastAsia" w:ascii="宋体" w:hAnsi="宋体"/>
                <w:sz w:val="21"/>
                <w:szCs w:val="21"/>
                <w:lang w:val="en-US" w:eastAsia="zh-CN"/>
              </w:rPr>
            </w:pP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cs="宋体"/>
                <w:color w:val="auto"/>
                <w:szCs w:val="21"/>
                <w:highlight w:val="none"/>
                <w:lang w:val="en-US" w:eastAsia="zh-CN"/>
              </w:rPr>
              <w:t>粘合、预热、烘干</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cs="宋体"/>
                <w:color w:val="auto"/>
                <w:szCs w:val="21"/>
                <w:highlight w:val="none"/>
                <w:lang w:val="en-US" w:eastAsia="zh-CN"/>
              </w:rPr>
              <w:t>粘合、预热、烘干</w:t>
            </w:r>
            <w:r>
              <w:rPr>
                <w:rFonts w:hint="eastAsia" w:ascii="宋体" w:hAnsi="宋体"/>
                <w:sz w:val="21"/>
                <w:szCs w:val="21"/>
                <w:lang w:val="en-US" w:eastAsia="zh-CN"/>
              </w:rPr>
              <w:t>，也是特殊过程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包装装潢印刷品印刷（限许可范围内）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numPr>
                <w:ilvl w:val="0"/>
                <w:numId w:val="3"/>
              </w:numPr>
              <w:spacing w:line="360" w:lineRule="auto"/>
              <w:rPr>
                <w:bCs/>
                <w:color w:val="000000"/>
                <w:sz w:val="24"/>
              </w:rPr>
            </w:pPr>
            <w:r>
              <w:rPr>
                <w:rFonts w:hint="eastAsia" w:ascii="宋体" w:hAnsi="宋体"/>
                <w:color w:val="000000"/>
                <w:sz w:val="24"/>
              </w:rPr>
              <w:t>合同履约达到率1</w:t>
            </w:r>
            <w:r>
              <w:rPr>
                <w:rFonts w:ascii="宋体" w:hAnsi="宋体"/>
                <w:color w:val="000000"/>
                <w:sz w:val="24"/>
              </w:rPr>
              <w:t>00</w:t>
            </w:r>
            <w:r>
              <w:rPr>
                <w:rFonts w:hint="eastAsia" w:ascii="宋体" w:hAnsi="宋体"/>
                <w:color w:val="000000"/>
                <w:sz w:val="24"/>
              </w:rPr>
              <w:t>%。</w:t>
            </w:r>
          </w:p>
          <w:p>
            <w:pPr>
              <w:numPr>
                <w:ilvl w:val="0"/>
                <w:numId w:val="3"/>
              </w:numPr>
              <w:spacing w:line="360" w:lineRule="auto"/>
              <w:rPr>
                <w:bCs/>
                <w:color w:val="000000"/>
                <w:sz w:val="24"/>
              </w:rPr>
            </w:pPr>
            <w:r>
              <w:rPr>
                <w:rFonts w:hint="eastAsia"/>
                <w:bCs/>
                <w:color w:val="000000"/>
                <w:sz w:val="24"/>
              </w:rPr>
              <w:t>最终产品一次合格率</w:t>
            </w:r>
            <w:r>
              <w:rPr>
                <w:bCs/>
                <w:color w:val="000000"/>
                <w:sz w:val="24"/>
              </w:rPr>
              <w:t>100</w:t>
            </w:r>
            <w:r>
              <w:rPr>
                <w:rFonts w:hint="eastAsia"/>
                <w:bCs/>
                <w:color w:val="000000"/>
                <w:sz w:val="24"/>
              </w:rPr>
              <w:t>%</w:t>
            </w:r>
          </w:p>
          <w:p>
            <w:pPr>
              <w:pStyle w:val="3"/>
              <w:numPr>
                <w:ilvl w:val="0"/>
                <w:numId w:val="0"/>
              </w:numPr>
              <w:spacing w:line="400" w:lineRule="exact"/>
              <w:jc w:val="left"/>
              <w:rPr>
                <w:rFonts w:ascii="宋体" w:hAnsi="宋体"/>
                <w:b/>
                <w:color w:val="000000" w:themeColor="text1"/>
              </w:rPr>
            </w:pPr>
            <w:r>
              <w:rPr>
                <w:rFonts w:hint="eastAsia"/>
                <w:bCs/>
                <w:color w:val="000000"/>
                <w:sz w:val="24"/>
                <w:lang w:val="en-US" w:eastAsia="zh-CN"/>
              </w:rPr>
              <w:t>3）</w:t>
            </w:r>
            <w:r>
              <w:rPr>
                <w:rFonts w:hint="eastAsia"/>
                <w:bCs/>
                <w:color w:val="000000"/>
                <w:sz w:val="24"/>
              </w:rPr>
              <w:t>顾客满意率＞</w:t>
            </w:r>
            <w:r>
              <w:rPr>
                <w:bCs/>
                <w:color w:val="000000"/>
                <w:sz w:val="24"/>
              </w:rPr>
              <w:t>90</w:t>
            </w:r>
            <w:r>
              <w:rPr>
                <w:rFonts w:hint="eastAsia"/>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3000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200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ascii="宋体" w:hAnsi="宋体"/>
                <w:sz w:val="21"/>
                <w:szCs w:val="21"/>
                <w:highlight w:val="none"/>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color w:val="000000" w:themeColor="text1"/>
                <w:sz w:val="21"/>
                <w:szCs w:val="21"/>
                <w:highlight w:val="none"/>
                <w:lang w:val="en-US" w:eastAsia="zh-CN"/>
              </w:rPr>
              <w:t>全自动破破强度试验机、</w:t>
            </w:r>
            <w:r>
              <w:rPr>
                <w:rFonts w:hint="eastAsia" w:ascii="华文中宋" w:hAnsi="华文中宋" w:eastAsia="华文中宋"/>
                <w:szCs w:val="21"/>
                <w:highlight w:val="none"/>
                <w:lang w:eastAsia="zh-CN"/>
              </w:rPr>
              <w:t>纸箱抗压强度试验机</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auto"/>
                <w:szCs w:val="21"/>
                <w:highlight w:val="none"/>
                <w:lang w:val="en-US" w:eastAsia="zh-CN"/>
              </w:rPr>
              <w:t>粘合、预热、烘干</w:t>
            </w:r>
            <w:r>
              <w:rPr>
                <w:rFonts w:hint="eastAsia" w:ascii="宋体" w:hAnsi="宋体"/>
                <w:sz w:val="21"/>
                <w:szCs w:val="21"/>
                <w:lang w:val="en-US" w:eastAsia="zh-CN"/>
              </w:rPr>
              <w:t>；</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w:t>
            </w:r>
            <w:r>
              <w:rPr>
                <w:rFonts w:hint="eastAsia" w:ascii="宋体" w:hAnsi="宋体" w:cs="宋体"/>
                <w:color w:val="auto"/>
                <w:szCs w:val="21"/>
                <w:highlight w:val="none"/>
                <w:lang w:val="en-US" w:eastAsia="zh-CN"/>
              </w:rPr>
              <w:t>粘合、预热、烘干</w:t>
            </w:r>
            <w:r>
              <w:rPr>
                <w:rFonts w:hint="eastAsia" w:ascii="宋体" w:hAnsi="宋体"/>
                <w:color w:val="000000" w:themeColor="text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提供2020年5月27日德阳市产品质量监督检验所对绵竹市佳伦包装印务有限公司的产品“瓦楞纸箱”的抽检报告，检验项目结果均合格。</w:t>
            </w:r>
          </w:p>
          <w:p>
            <w:pPr>
              <w:spacing w:line="240" w:lineRule="exact"/>
              <w:ind w:firstLine="402" w:firstLineChars="200"/>
              <w:rPr>
                <w:rFonts w:hint="eastAsia" w:eastAsia="宋体"/>
                <w:b/>
                <w:color w:val="000000" w:themeColor="text1"/>
                <w:sz w:val="20"/>
                <w:szCs w:val="20"/>
                <w:lang w:eastAsia="zh-CN"/>
              </w:rPr>
            </w:pPr>
            <w:r>
              <w:rPr>
                <w:rFonts w:hint="eastAsia"/>
                <w:b/>
                <w:color w:val="000000" w:themeColor="text1"/>
                <w:sz w:val="20"/>
                <w:szCs w:val="20"/>
              </w:rPr>
              <w:t>（附相关证据）：</w:t>
            </w:r>
            <w:r>
              <w:rPr>
                <w:rFonts w:hint="eastAsia"/>
                <w:b/>
                <w:color w:val="000000" w:themeColor="text1"/>
                <w:sz w:val="20"/>
                <w:szCs w:val="20"/>
                <w:lang w:eastAsia="zh-CN"/>
              </w:rPr>
              <w:t>（</w:t>
            </w:r>
            <w:r>
              <w:rPr>
                <w:rFonts w:hint="eastAsia"/>
                <w:b/>
                <w:color w:val="000000" w:themeColor="text1"/>
                <w:sz w:val="20"/>
                <w:szCs w:val="20"/>
                <w:lang w:val="en-US" w:eastAsia="zh-CN"/>
              </w:rPr>
              <w:t>见附件抽检报告</w:t>
            </w:r>
            <w:r>
              <w:rPr>
                <w:rFonts w:hint="eastAsia"/>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锅炉（提供锅炉内、外检测报告）</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10月</w:t>
            </w:r>
            <w:r>
              <w:rPr>
                <w:rFonts w:hint="eastAsia" w:ascii="宋体" w:hAnsi="宋体" w:cs="宋体"/>
                <w:color w:val="auto"/>
                <w:szCs w:val="21"/>
              </w:rPr>
              <w:t>-</w:t>
            </w:r>
            <w:r>
              <w:rPr>
                <w:rFonts w:hint="eastAsia" w:ascii="宋体" w:hAnsi="宋体" w:cs="宋体"/>
                <w:color w:val="auto"/>
                <w:szCs w:val="21"/>
                <w:lang w:val="en-US" w:eastAsia="zh-CN"/>
              </w:rPr>
              <w:t>2021年3</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ascii="宋体" w:hAnsi="宋体"/>
                <w:szCs w:val="21"/>
              </w:rPr>
              <w:t>2021年1月10日至11日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ascii="宋体" w:hAnsi="宋体"/>
                <w:szCs w:val="21"/>
              </w:rPr>
              <w:t>涉及</w:t>
            </w:r>
            <w:r>
              <w:rPr>
                <w:rFonts w:hint="eastAsia" w:ascii="宋体" w:hAnsi="宋体"/>
                <w:szCs w:val="21"/>
                <w:lang w:eastAsia="zh-CN"/>
              </w:rPr>
              <w:t>综合部</w:t>
            </w:r>
            <w:r>
              <w:rPr>
                <w:rFonts w:hint="eastAsia" w:ascii="宋体" w:hAnsi="宋体"/>
                <w:szCs w:val="21"/>
                <w:lang w:val="en-US" w:eastAsia="zh-CN"/>
              </w:rPr>
              <w:t>Q7.2条款</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rPr>
              <w:t>日查</w:t>
            </w:r>
            <w:r>
              <w:rPr>
                <w:rFonts w:hint="eastAsia" w:ascii="宋体" w:hAnsi="宋体"/>
                <w:szCs w:val="21"/>
                <w:lang w:eastAsia="zh-CN"/>
              </w:rPr>
              <w:t>综合部</w:t>
            </w:r>
            <w:r>
              <w:rPr>
                <w:rFonts w:hint="eastAsia" w:ascii="宋体" w:hAnsi="宋体"/>
                <w:szCs w:val="21"/>
              </w:rPr>
              <w:t>未见质量管理体系标准培训时的记录，针对该不符合项，已及时采取纠正措施后，经内审员验证关闭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Times New Roman" w:eastAsia="宋体" w:cs="Times New Roman"/>
                <w:kern w:val="0"/>
                <w:szCs w:val="21"/>
              </w:rPr>
              <w:t>20</w:t>
            </w:r>
            <w:r>
              <w:rPr>
                <w:rFonts w:hint="eastAsia" w:ascii="宋体" w:hAnsi="Times New Roman" w:eastAsia="宋体" w:cs="Times New Roman"/>
                <w:kern w:val="0"/>
                <w:szCs w:val="21"/>
                <w:lang w:val="en-US" w:eastAsia="zh-CN"/>
              </w:rPr>
              <w:t>2</w:t>
            </w:r>
            <w:r>
              <w:rPr>
                <w:rFonts w:hint="eastAsia" w:ascii="宋体" w:cs="Times New Roman"/>
                <w:kern w:val="0"/>
                <w:szCs w:val="21"/>
                <w:lang w:val="en-US" w:eastAsia="zh-CN"/>
              </w:rPr>
              <w:t>1</w:t>
            </w:r>
            <w:r>
              <w:rPr>
                <w:rFonts w:hint="eastAsia" w:ascii="宋体" w:hAnsi="Times New Roman" w:eastAsia="宋体" w:cs="Times New Roman"/>
                <w:kern w:val="0"/>
                <w:szCs w:val="21"/>
              </w:rPr>
              <w:t xml:space="preserve">年 </w:t>
            </w:r>
            <w:r>
              <w:rPr>
                <w:rFonts w:hint="eastAsia" w:ascii="宋体" w:cs="Times New Roman"/>
                <w:kern w:val="0"/>
                <w:szCs w:val="21"/>
                <w:lang w:val="en-US" w:eastAsia="zh-CN"/>
              </w:rPr>
              <w:t>1</w:t>
            </w:r>
            <w:r>
              <w:rPr>
                <w:rFonts w:hint="eastAsia" w:ascii="宋体" w:hAnsi="Times New Roman" w:eastAsia="宋体" w:cs="Times New Roman"/>
                <w:kern w:val="0"/>
                <w:szCs w:val="21"/>
              </w:rPr>
              <w:t>月</w:t>
            </w:r>
            <w:r>
              <w:rPr>
                <w:rFonts w:hint="eastAsia" w:ascii="宋体" w:cs="Times New Roman"/>
                <w:kern w:val="0"/>
                <w:szCs w:val="21"/>
                <w:lang w:val="en-US" w:eastAsia="zh-CN"/>
              </w:rPr>
              <w:t>29</w:t>
            </w:r>
            <w:r>
              <w:rPr>
                <w:rFonts w:hint="eastAsia" w:ascii="宋体" w:hAnsi="Times New Roman" w:eastAsia="宋体" w:cs="Times New Roman"/>
                <w:kern w:val="0"/>
                <w:szCs w:val="21"/>
              </w:rPr>
              <w:t xml:space="preserve"> 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4384;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包装装潢印刷品印刷（限许可范围内）。</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1638935</wp:posOffset>
            </wp:positionH>
            <wp:positionV relativeFrom="paragraph">
              <wp:posOffset>346710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1603375</wp:posOffset>
            </wp:positionH>
            <wp:positionV relativeFrom="paragraph">
              <wp:posOffset>167640</wp:posOffset>
            </wp:positionV>
            <wp:extent cx="469900" cy="344805"/>
            <wp:effectExtent l="0" t="0" r="0" b="10795"/>
            <wp:wrapNone/>
            <wp:docPr id="12" name="图片 2" descr="09475d67fa07517e3104073033d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09475d67fa07517e3104073033d7493"/>
                    <pic:cNvPicPr>
                      <a:picLocks noChangeAspect="1"/>
                    </pic:cNvPicPr>
                  </pic:nvPicPr>
                  <pic:blipFill>
                    <a:blip r:embed="rId7"/>
                    <a:srcRect l="79567" t="49010" r="10632" b="45349"/>
                    <a:stretch>
                      <a:fillRect/>
                    </a:stretch>
                  </pic:blipFill>
                  <pic:spPr>
                    <a:xfrm>
                      <a:off x="0" y="0"/>
                      <a:ext cx="469900" cy="34480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w:t>
      </w:r>
      <w:r>
        <w:rPr>
          <w:rFonts w:hint="eastAsia"/>
          <w:b/>
          <w:color w:val="000000" w:themeColor="text1"/>
          <w:lang w:val="en-US" w:eastAsia="zh-CN"/>
        </w:rPr>
        <w:t xml:space="preserve">   </w:t>
      </w:r>
      <w:r>
        <w:rPr>
          <w:rFonts w:hint="eastAsia"/>
          <w:b/>
          <w:color w:val="000000" w:themeColor="text1"/>
        </w:rPr>
        <w:t>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735330</wp:posOffset>
            </wp:positionH>
            <wp:positionV relativeFrom="paragraph">
              <wp:posOffset>96520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8E77C6"/>
    <w:multiLevelType w:val="multilevel"/>
    <w:tmpl w:val="6F8E7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763FA4"/>
    <w:rsid w:val="30915EBD"/>
    <w:rsid w:val="62955A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2021-04-27T15:46:27Z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25E4E45B8E1746B69AD0C568D2542768</vt:lpwstr>
  </property>
</Properties>
</file>