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2"/>
        <w:gridCol w:w="119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绵竹市佳伦包装印务有限公司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09.01.02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杨旸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原材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瓦楞制作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粘合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预热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烘干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纵切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横切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堆码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印刷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装订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----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生产过程的风险：操作不当造成产品缺陷等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通过严格执行作业指导书、对操作人员培训等控制措施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特殊过程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粘合</w:t>
            </w:r>
            <w:r>
              <w:rPr>
                <w:rFonts w:hint="eastAsia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预热、烘干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控制措施：过程确认、作业指导书、对操作人员培训等控制措施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中华人民共和国合同法、中华人民共和国劳动法、中华人民共和国安全消防法、中华人民共和国产品质量法、中华人民共和国消费者权益法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GB/T6543-----2008标准、GB/T6543-----2008标准等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77470</wp:posOffset>
            </wp:positionV>
            <wp:extent cx="469900" cy="344805"/>
            <wp:effectExtent l="0" t="0" r="0" b="10795"/>
            <wp:wrapNone/>
            <wp:docPr id="12" name="图片 2" descr="09475d67fa07517e3104073033d7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09475d67fa07517e3104073033d7493"/>
                    <pic:cNvPicPr>
                      <a:picLocks noChangeAspect="1"/>
                    </pic:cNvPicPr>
                  </pic:nvPicPr>
                  <pic:blipFill>
                    <a:blip r:embed="rId5"/>
                    <a:srcRect l="79567" t="49010" r="10632" b="4534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6" w:name="_GoBack"/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177800</wp:posOffset>
            </wp:positionV>
            <wp:extent cx="812165" cy="275590"/>
            <wp:effectExtent l="0" t="0" r="635" b="3810"/>
            <wp:wrapNone/>
            <wp:docPr id="13" name="图片 13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65153f20abdb73c162b984abccbf35"/>
                    <pic:cNvPicPr>
                      <a:picLocks noChangeAspect="1"/>
                    </pic:cNvPicPr>
                  </pic:nvPicPr>
                  <pic:blipFill>
                    <a:blip r:embed="rId6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2021年4月16日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2021年4月16日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1B53F8"/>
    <w:rsid w:val="438B1B16"/>
    <w:rsid w:val="60F07E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2021-04-19T23:04:06Z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37233A97C2AB410C874DF5B00838B01D</vt:lpwstr>
  </property>
</Properties>
</file>