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山东精益源石油装备检测技术服务有限公司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姜霞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在质量部一号检测室用于记录室内温湿度的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温度/湿度记录表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没有注明编号及保存期限等信息，不符合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记录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41655" cy="340995"/>
                  <wp:effectExtent l="0" t="0" r="4445" b="1905"/>
                  <wp:docPr id="67" name="图片 67" descr="bd6cb252dd4b5b591fbb2e259f73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bd6cb252dd4b5b591fbb2e259f7317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905" t="31788" r="26117" b="48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21665" cy="379095"/>
                  <wp:effectExtent l="0" t="0" r="635" b="1905"/>
                  <wp:docPr id="66" name="图片 66" descr="ad4d26338b5099523bc292075cd56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ad4d26338b5099523bc292075cd56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8462" t="27586" r="39229" b="53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 对该记录表进行修改，增加相关记录要求的信息。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2 对公司其他记录进行检查杜绝类似问题的发生。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21665" cy="379095"/>
                  <wp:effectExtent l="0" t="0" r="635" b="1905"/>
                  <wp:docPr id="2" name="图片 2" descr="ad4d26338b5099523bc292075cd56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d4d26338b5099523bc292075cd56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8462" t="27586" r="39229" b="53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E15BC9"/>
    <w:rsid w:val="7E632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2021-04-28T02:42:58Z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BF78316629C942E0B08C436B1B34EEA8</vt:lpwstr>
  </property>
</Properties>
</file>