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天津同阳科技发展有限公司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0086-2020-2021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0086-2020-2021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36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天津同阳科技发展有限公司</w:t>
            </w:r>
            <w:bookmarkEnd w:id="4"/>
          </w:p>
        </w:tc>
        <w:tc>
          <w:tcPr>
            <w:tcW w:w="13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88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徐可欣</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ISC-2020-0731</w:t>
            </w:r>
            <w:bookmarkEnd w:id="6"/>
          </w:p>
        </w:tc>
        <w:tc>
          <w:tcPr>
            <w:tcW w:w="13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88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2025-06-07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3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884"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2021年05月11日上午</w:t>
            </w:r>
            <w:bookmarkEnd w:id="9"/>
            <w:r>
              <w:rPr>
                <w:rFonts w:hint="eastAsia" w:cs="宋体" w:asciiTheme="minorEastAsia" w:hAnsiTheme="minorEastAsia"/>
                <w:kern w:val="0"/>
                <w:szCs w:val="21"/>
                <w:lang w:val="en-US" w:eastAsia="zh-CN"/>
              </w:rPr>
              <w:t>至05月12日下午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numPr>
                <w:ilvl w:val="0"/>
                <w:numId w:val="0"/>
              </w:numPr>
              <w:tabs>
                <w:tab w:val="left" w:pos="880"/>
              </w:tabs>
              <w:autoSpaceDE w:val="0"/>
              <w:autoSpaceDN w:val="0"/>
              <w:adjustRightInd w:val="0"/>
              <w:spacing w:before="35" w:line="276" w:lineRule="auto"/>
              <w:ind w:right="161" w:rightChars="0"/>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M1MMS-1274302</w:t>
            </w:r>
          </w:p>
          <w:p>
            <w:pPr>
              <w:numPr>
                <w:ilvl w:val="0"/>
                <w:numId w:val="1"/>
              </w:num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ISC[S]0176</w:t>
            </w:r>
          </w:p>
        </w:tc>
        <w:tc>
          <w:tcPr>
            <w:tcW w:w="13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8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sz w:val="21"/>
                <w:szCs w:val="21"/>
              </w:rPr>
              <w:t>管理层</w:t>
            </w:r>
            <w:r>
              <w:rPr>
                <w:rFonts w:hint="eastAsia" w:eastAsia="新宋体"/>
                <w:sz w:val="21"/>
                <w:szCs w:val="21"/>
                <w:lang w:eastAsia="zh-CN"/>
              </w:rPr>
              <w:t>，</w:t>
            </w:r>
            <w:r>
              <w:rPr>
                <w:rFonts w:hint="eastAsia" w:eastAsia="新宋体"/>
                <w:color w:val="000000"/>
                <w:sz w:val="21"/>
                <w:szCs w:val="21"/>
              </w:rPr>
              <w:t>质量管理部</w:t>
            </w:r>
            <w:r>
              <w:rPr>
                <w:rFonts w:hint="eastAsia" w:eastAsia="新宋体"/>
                <w:color w:val="000000"/>
                <w:sz w:val="21"/>
                <w:szCs w:val="21"/>
                <w:lang w:eastAsia="zh-CN"/>
              </w:rPr>
              <w:t>、</w:t>
            </w:r>
            <w:r>
              <w:rPr>
                <w:rFonts w:hint="eastAsia" w:eastAsia="新宋体"/>
                <w:color w:val="000000"/>
                <w:sz w:val="21"/>
                <w:szCs w:val="21"/>
              </w:rPr>
              <w:t>生产</w:t>
            </w:r>
            <w:r>
              <w:rPr>
                <w:rFonts w:hint="eastAsia" w:eastAsia="新宋体"/>
                <w:color w:val="000000"/>
                <w:sz w:val="21"/>
                <w:szCs w:val="21"/>
                <w:lang w:val="en-US" w:eastAsia="zh-CN"/>
              </w:rPr>
              <w:t>供应中心、</w:t>
            </w:r>
            <w:r>
              <w:rPr>
                <w:rFonts w:hint="eastAsia"/>
                <w:color w:val="000000"/>
                <w:sz w:val="21"/>
                <w:szCs w:val="21"/>
                <w:lang w:val="en-US" w:eastAsia="zh-CN"/>
              </w:rPr>
              <w:t>总经</w:t>
            </w:r>
            <w:r>
              <w:rPr>
                <w:rFonts w:hint="eastAsia"/>
                <w:color w:val="000000"/>
                <w:sz w:val="21"/>
                <w:szCs w:val="21"/>
              </w:rPr>
              <w:t>办</w:t>
            </w:r>
            <w:r>
              <w:rPr>
                <w:rFonts w:hint="eastAsia"/>
                <w:color w:val="000000"/>
                <w:sz w:val="21"/>
                <w:szCs w:val="21"/>
                <w:lang w:eastAsia="zh-CN"/>
              </w:rPr>
              <w:t>、</w:t>
            </w:r>
            <w:r>
              <w:rPr>
                <w:rFonts w:hint="eastAsia"/>
                <w:bCs/>
                <w:color w:val="000000"/>
                <w:sz w:val="21"/>
                <w:szCs w:val="21"/>
                <w:lang w:val="en-US" w:eastAsia="zh-CN"/>
              </w:rPr>
              <w:t>运维服务部、人资行政部、营销中心、研发中心、 财务部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06</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360"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spacing w:line="360" w:lineRule="auto"/>
        <w:rPr>
          <w:rFonts w:hint="eastAsia" w:ascii="宋体" w:hAnsi="宋体" w:cs="宋体"/>
          <w:bCs/>
          <w:color w:val="000000" w:themeColor="text1"/>
          <w:kern w:val="0"/>
          <w:szCs w:val="21"/>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numPr>
          <w:ilvl w:val="0"/>
          <w:numId w:val="0"/>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1.3</w:t>
      </w: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lang w:val="en-US" w:eastAsia="zh-CN"/>
        </w:rPr>
        <w:t>2020年6月由于疫情影响，通过网络对该公司进行了远程审核，</w:t>
      </w:r>
      <w:r>
        <w:rPr>
          <w:rFonts w:hint="eastAsia" w:ascii="宋体" w:hAnsi="宋体" w:cs="宋体"/>
          <w:bCs/>
          <w:kern w:val="0"/>
          <w:szCs w:val="21"/>
        </w:rPr>
        <w:t>为有效评价公司测量管理体系认证运行情况，20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11-12</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w:t>
      </w:r>
      <w:r>
        <w:rPr>
          <w:rFonts w:hint="eastAsia" w:ascii="宋体" w:hAnsi="宋体"/>
          <w:szCs w:val="21"/>
        </w:rPr>
        <w:t>远程审核</w:t>
      </w:r>
      <w:r>
        <w:rPr>
          <w:rFonts w:hint="eastAsia" w:ascii="宋体" w:hAnsi="宋体"/>
          <w:szCs w:val="21"/>
          <w:lang w:val="en-US" w:eastAsia="zh-CN"/>
        </w:rPr>
        <w:t>进行了</w:t>
      </w:r>
      <w:r>
        <w:rPr>
          <w:rFonts w:hint="eastAsia" w:ascii="宋体" w:hAnsi="宋体"/>
          <w:szCs w:val="21"/>
        </w:rPr>
        <w:t>现场验证确认</w:t>
      </w:r>
      <w:r>
        <w:rPr>
          <w:rFonts w:hint="eastAsia" w:ascii="宋体" w:hAnsi="宋体"/>
          <w:szCs w:val="21"/>
          <w:lang w:eastAsia="zh-CN"/>
        </w:rPr>
        <w:t>；</w:t>
      </w:r>
      <w:r>
        <w:rPr>
          <w:rFonts w:hint="eastAsia" w:ascii="宋体" w:hAnsi="宋体"/>
          <w:szCs w:val="21"/>
          <w:lang w:val="en-US" w:eastAsia="zh-CN"/>
        </w:rPr>
        <w:t>通过对</w:t>
      </w:r>
      <w:r>
        <w:rPr>
          <w:rFonts w:ascii="宋体" w:hAnsi="宋体"/>
          <w:szCs w:val="21"/>
        </w:rPr>
        <w:t>该公司的体系文件进行了版本</w:t>
      </w:r>
      <w:r>
        <w:rPr>
          <w:rFonts w:hint="eastAsia" w:ascii="宋体" w:hAnsi="宋体"/>
          <w:szCs w:val="21"/>
        </w:rPr>
        <w:t>（A/0）</w:t>
      </w:r>
      <w:r>
        <w:rPr>
          <w:rFonts w:ascii="宋体" w:hAnsi="宋体"/>
          <w:szCs w:val="21"/>
        </w:rPr>
        <w:t>确认，</w:t>
      </w:r>
      <w:r>
        <w:rPr>
          <w:rFonts w:hint="eastAsia" w:ascii="宋体" w:hAnsi="宋体"/>
          <w:szCs w:val="21"/>
          <w:lang w:val="en-US" w:eastAsia="zh-CN"/>
        </w:rPr>
        <w:t>同时对企业进行了第一次</w:t>
      </w:r>
      <w:r>
        <w:rPr>
          <w:rFonts w:hint="eastAsia" w:ascii="宋体" w:hAnsi="宋体" w:cs="宋体"/>
          <w:bCs/>
          <w:kern w:val="0"/>
          <w:szCs w:val="21"/>
        </w:rPr>
        <w:t>现场</w:t>
      </w:r>
      <w:r>
        <w:rPr>
          <w:rFonts w:hint="eastAsia" w:ascii="宋体" w:hAnsi="宋体"/>
          <w:szCs w:val="21"/>
          <w:lang w:val="en-US" w:eastAsia="zh-CN"/>
        </w:rPr>
        <w:t>监督</w:t>
      </w:r>
      <w:r>
        <w:rPr>
          <w:rFonts w:hint="eastAsia" w:ascii="宋体" w:hAnsi="宋体" w:cs="宋体"/>
          <w:bCs/>
          <w:kern w:val="0"/>
          <w:szCs w:val="21"/>
        </w:rPr>
        <w:t>审核，审核组先、后抽样检查了涉及公司测量体系内的管理、生产、经营、质量和环境等方面的</w:t>
      </w:r>
      <w:r>
        <w:rPr>
          <w:rFonts w:hint="eastAsia" w:ascii="宋体" w:hAnsi="宋体" w:cs="宋体"/>
          <w:bCs/>
          <w:kern w:val="0"/>
          <w:szCs w:val="21"/>
          <w:lang w:val="en-US" w:eastAsia="zh-CN"/>
        </w:rPr>
        <w:t>8</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的</w:t>
      </w:r>
      <w:r>
        <w:rPr>
          <w:rFonts w:hint="eastAsia" w:ascii="宋体" w:hAnsi="宋体"/>
          <w:szCs w:val="21"/>
          <w:lang w:eastAsia="zh-CN"/>
        </w:rPr>
        <w:t>测量过程，</w:t>
      </w:r>
      <w:r>
        <w:rPr>
          <w:rFonts w:hint="eastAsia" w:ascii="宋体" w:hAnsi="宋体"/>
          <w:szCs w:val="21"/>
          <w:lang w:val="en-US" w:eastAsia="zh-CN"/>
        </w:rPr>
        <w:t>充分</w:t>
      </w:r>
      <w:r>
        <w:rPr>
          <w:rFonts w:hint="eastAsia" w:ascii="宋体" w:hAnsi="宋体"/>
          <w:szCs w:val="21"/>
          <w:lang w:eastAsia="zh-CN"/>
        </w:rPr>
        <w:t>了企业测量管理体系的运行状况。</w:t>
      </w:r>
    </w:p>
    <w:p>
      <w:pPr>
        <w:widowControl/>
        <w:spacing w:line="360" w:lineRule="auto"/>
        <w:ind w:firstLine="420" w:firstLineChars="200"/>
        <w:rPr>
          <w:rFonts w:hint="default" w:ascii="宋体" w:hAnsi="宋体" w:cs="宋体"/>
          <w:bCs/>
          <w:color w:val="000000" w:themeColor="text1"/>
          <w:kern w:val="0"/>
          <w:szCs w:val="21"/>
          <w:lang w:val="en-US" w:eastAsia="zh-CN"/>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8</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28</w:t>
      </w:r>
      <w:r>
        <w:rPr>
          <w:rFonts w:hint="eastAsia" w:ascii="宋体" w:hAnsi="宋体"/>
          <w:bCs/>
          <w:color w:val="000000" w:themeColor="text1"/>
          <w:szCs w:val="21"/>
        </w:rPr>
        <w:t>日完成整改。</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30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陈文亮</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张倩</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szCs w:val="21"/>
        </w:rPr>
        <w:t>绝缘电阻测量过程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szCs w:val="21"/>
        </w:rPr>
        <w:t>绝缘电阻测量过程</w:t>
      </w:r>
      <w:r>
        <w:rPr>
          <w:rFonts w:hint="eastAsia"/>
          <w:color w:val="000000" w:themeColor="text1"/>
        </w:rPr>
        <w:t>，测量不确定度评定正确。祥见附件《测量不确定度评定》</w:t>
      </w:r>
    </w:p>
    <w:p>
      <w:pPr>
        <w:widowControl/>
        <w:spacing w:line="360" w:lineRule="auto"/>
        <w:rPr>
          <w:rFonts w:ascii="宋体" w:cs="宋体"/>
          <w:color w:val="000000" w:themeColor="text1"/>
          <w:kern w:val="0"/>
          <w:sz w:val="21"/>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szCs w:val="21"/>
        </w:rPr>
        <w:t>绝缘电阻测量过程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ascii="宋体" w:hAnsi="宋体" w:cs="宋体"/>
          <w:color w:val="000000" w:themeColor="text1"/>
          <w:kern w:val="0"/>
          <w:sz w:val="21"/>
          <w:szCs w:val="21"/>
          <w:lang w:val="en-US" w:eastAsia="zh-CN"/>
        </w:rPr>
        <w:t>绝缘电阻</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p>
    <w:p>
      <w:pPr>
        <w:widowControl/>
        <w:spacing w:line="360" w:lineRule="auto"/>
        <w:rPr>
          <w:rFonts w:cs="宋体" w:asciiTheme="minorEastAsia" w:hAnsiTheme="minorEastAsia"/>
          <w:color w:val="000000" w:themeColor="text1"/>
          <w:kern w:val="0"/>
          <w:szCs w:val="21"/>
        </w:rPr>
      </w:pPr>
      <w:r>
        <w:rPr>
          <w:rFonts w:hint="eastAsia"/>
          <w:color w:val="000000" w:themeColor="text1"/>
        </w:rPr>
        <w:t>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szCs w:val="21"/>
        </w:rPr>
        <w:t>绝缘电阻测量过程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szCs w:val="21"/>
        </w:rPr>
        <w:t>绝缘电阻测量过程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color w:val="000000" w:themeColor="text1"/>
          <w:sz w:val="21"/>
          <w:szCs w:val="21"/>
          <w:lang w:val="en-US" w:eastAsia="zh-CN"/>
        </w:rPr>
        <w:t>北京市计量检测科学研究院、天津市电子仪表实验所、天津中环电子信息集团有限公司计量中心站</w:t>
      </w:r>
      <w:r>
        <w:rPr>
          <w:rFonts w:hint="eastAsia"/>
          <w:color w:val="000000" w:themeColor="text1"/>
          <w:szCs w:val="21"/>
        </w:rPr>
        <w:t>检定/校准。抽查</w:t>
      </w:r>
      <w:r>
        <w:rPr>
          <w:rFonts w:hint="eastAsia"/>
          <w:color w:val="000000" w:themeColor="text1"/>
          <w:szCs w:val="21"/>
          <w:lang w:val="en-US" w:eastAsia="zh-CN"/>
        </w:rPr>
        <w:t>7</w:t>
      </w:r>
      <w:r>
        <w:rPr>
          <w:rFonts w:hint="eastAsia"/>
          <w:color w:val="000000" w:themeColor="text1"/>
          <w:szCs w:val="21"/>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278</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jc w:val="left"/>
        <w:rPr>
          <w:rFonts w:hint="default" w:ascii="宋体" w:hAnsi="宋体" w:eastAsia="宋体" w:cs="宋体"/>
          <w:color w:val="000000" w:themeColor="text1"/>
          <w:kern w:val="0"/>
          <w:szCs w:val="21"/>
          <w:lang w:val="en-US" w:eastAsia="zh-CN"/>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w:t>
      </w:r>
      <w:r>
        <w:rPr>
          <w:rFonts w:hint="eastAsia" w:ascii="宋体" w:hAnsi="宋体" w:cs="宋体"/>
          <w:bCs/>
          <w:color w:val="000000" w:themeColor="text1"/>
          <w:kern w:val="0"/>
          <w:szCs w:val="21"/>
          <w:lang w:val="en-US" w:eastAsia="zh-CN"/>
        </w:rPr>
        <w:t>未</w:t>
      </w:r>
      <w:r>
        <w:rPr>
          <w:rFonts w:hint="eastAsia" w:ascii="宋体" w:hAnsi="宋体" w:cs="宋体"/>
          <w:bCs/>
          <w:color w:val="000000" w:themeColor="text1"/>
          <w:kern w:val="0"/>
          <w:szCs w:val="21"/>
        </w:rPr>
        <w:t>开出了不符合项报告：</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06</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2021年04</w:t>
      </w:r>
      <w:r>
        <w:rPr>
          <w:rFonts w:hint="eastAsia" w:ascii="宋体" w:hAnsi="宋体" w:eastAsia="宋体"/>
          <w:bCs/>
          <w:color w:val="000000" w:themeColor="text1"/>
          <w:szCs w:val="21"/>
        </w:rPr>
        <w:t>月质量目标完成情况检查表，按目标、措施、完成情况进行统计，记录内容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2"/>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widowControl/>
        <w:spacing w:line="360" w:lineRule="auto"/>
        <w:jc w:val="left"/>
        <w:rPr>
          <w:rFonts w:hint="eastAsia" w:ascii="宋体" w:hAnsi="宋体" w:eastAsia="宋体" w:cs="宋体"/>
          <w:color w:val="000000" w:themeColor="text1"/>
          <w:kern w:val="0"/>
          <w:szCs w:val="21"/>
        </w:rPr>
      </w:pPr>
      <w:r>
        <w:rPr>
          <w:rFonts w:hint="eastAsia" w:ascii="宋体" w:hAnsi="宋体" w:eastAsia="宋体" w:cs="宋体"/>
          <w:bCs/>
          <w:color w:val="000000" w:themeColor="text1"/>
          <w:szCs w:val="21"/>
          <w:lang w:val="en-US" w:eastAsia="zh-CN"/>
        </w:rPr>
        <w:t>10</w:t>
      </w:r>
      <w:r>
        <w:rPr>
          <w:rFonts w:hint="eastAsia" w:ascii="宋体" w:hAnsi="宋体" w:eastAsia="宋体" w:cs="宋体"/>
          <w:color w:val="000000" w:themeColor="text1"/>
          <w:kern w:val="0"/>
          <w:szCs w:val="21"/>
          <w:lang w:val="en-US" w:eastAsia="zh-CN"/>
        </w:rPr>
        <w:t>.</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发现了一个</w:t>
      </w:r>
      <w:r>
        <w:rPr>
          <w:rFonts w:hint="eastAsia" w:ascii="宋体" w:hAnsi="宋体" w:eastAsia="宋体" w:cs="宋体"/>
          <w:color w:val="000000" w:themeColor="text1"/>
          <w:kern w:val="0"/>
          <w:szCs w:val="21"/>
        </w:rPr>
        <w:t>不符合项，未发现严重的或系统性的不符合情况：</w:t>
      </w:r>
    </w:p>
    <w:p>
      <w:pPr>
        <w:widowControl/>
        <w:spacing w:line="360" w:lineRule="auto"/>
        <w:jc w:val="left"/>
        <w:rPr>
          <w:rFonts w:hint="default" w:ascii="宋体" w:hAnsi="宋体" w:eastAsia="宋体" w:cs="宋体"/>
          <w:color w:val="000000" w:themeColor="text1"/>
          <w:kern w:val="0"/>
          <w:szCs w:val="21"/>
          <w:lang w:val="en-US" w:eastAsia="zh-CN"/>
        </w:rPr>
      </w:pPr>
      <w:r>
        <w:rPr>
          <w:rFonts w:hint="eastAsia" w:ascii="宋体" w:hAnsi="宋体" w:eastAsia="宋体" w:cs="宋体"/>
          <w:bCs/>
          <w:color w:val="000000" w:themeColor="text1"/>
          <w:szCs w:val="21"/>
          <w:lang w:val="en-US" w:eastAsia="zh-CN"/>
        </w:rPr>
        <w:t>10.1</w:t>
      </w:r>
      <w:r>
        <w:rPr>
          <w:rFonts w:hint="eastAsia" w:ascii="宋体" w:hAnsi="宋体" w:cs="宋体"/>
          <w:color w:val="000000" w:themeColor="text1"/>
          <w:kern w:val="0"/>
          <w:szCs w:val="21"/>
          <w:lang w:val="en-US" w:eastAsia="zh-CN"/>
        </w:rPr>
        <w:t>检查质量管理部时发现使用的型号为J7500编号为210351564398的</w:t>
      </w:r>
      <w:r>
        <w:rPr>
          <w:rFonts w:hint="eastAsia" w:ascii="宋体" w:hAnsi="宋体" w:eastAsia="宋体" w:cs="宋体"/>
          <w:color w:val="000000" w:themeColor="text1"/>
          <w:kern w:val="0"/>
          <w:szCs w:val="21"/>
          <w:lang w:val="en-US" w:eastAsia="zh-CN"/>
        </w:rPr>
        <w:t>Ⅲ</w:t>
      </w:r>
      <w:r>
        <w:rPr>
          <w:rFonts w:hint="eastAsia" w:ascii="宋体" w:hAnsi="宋体" w:cs="宋体"/>
          <w:color w:val="000000" w:themeColor="text1"/>
          <w:kern w:val="0"/>
          <w:szCs w:val="21"/>
          <w:lang w:val="en-US" w:eastAsia="zh-CN"/>
        </w:rPr>
        <w:t>级电子天平使用的是校准证书未作确认。</w:t>
      </w:r>
      <w:r>
        <w:rPr>
          <w:rFonts w:hint="eastAsia" w:ascii="宋体" w:hAnsi="宋体" w:cs="宋体"/>
          <w:bCs/>
          <w:color w:val="000000" w:themeColor="text1"/>
          <w:kern w:val="0"/>
          <w:szCs w:val="21"/>
          <w:lang w:val="en-US" w:eastAsia="zh-CN"/>
        </w:rPr>
        <w:t>不符合GB/T19022-2003标准7.1.1条款的要求，属次要不符合</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05</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12</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天津同阳科技发展有限公司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天津同阳科技发展有限公司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1369060</wp:posOffset>
            </wp:positionH>
            <wp:positionV relativeFrom="paragraph">
              <wp:posOffset>167640</wp:posOffset>
            </wp:positionV>
            <wp:extent cx="1037590" cy="372745"/>
            <wp:effectExtent l="0" t="0" r="3810" b="8255"/>
            <wp:wrapNone/>
            <wp:docPr id="1"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3a5a87445d9ecd06a7f052ba54a707"/>
                    <pic:cNvPicPr>
                      <a:picLocks noChangeAspect="1"/>
                    </pic:cNvPicPr>
                  </pic:nvPicPr>
                  <pic:blipFill>
                    <a:blip r:embed="rId6">
                      <a:clrChange>
                        <a:clrFrom>
                          <a:srgbClr val="948D85"/>
                        </a:clrFrom>
                        <a:clrTo>
                          <a:srgbClr val="948D85">
                            <a:alpha val="0"/>
                          </a:srgbClr>
                        </a:clrTo>
                      </a:clrChange>
                      <a:biLevel thresh="50000"/>
                      <a:grayscl/>
                    </a:blip>
                    <a:stretch>
                      <a:fillRect/>
                    </a:stretch>
                  </pic:blipFill>
                  <pic:spPr>
                    <a:xfrm>
                      <a:off x="0" y="0"/>
                      <a:ext cx="1037590" cy="3727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2021.05.12</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ascii="宋体" w:hAnsi="宋体" w:eastAsia="宋体" w:cs="宋体"/>
          <w:color w:val="000000" w:themeColor="text1"/>
          <w:kern w:val="0"/>
          <w:szCs w:val="21"/>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bookmarkStart w:id="11" w:name="_GoBack"/>
      <w:bookmarkEnd w:id="11"/>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94B9A"/>
    <w:multiLevelType w:val="singleLevel"/>
    <w:tmpl w:val="E2294B9A"/>
    <w:lvl w:ilvl="0" w:tentative="0">
      <w:start w:val="2020"/>
      <w:numFmt w:val="decimal"/>
      <w:suff w:val="nothing"/>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53991"/>
    <w:rsid w:val="1C9F1677"/>
    <w:rsid w:val="2076323A"/>
    <w:rsid w:val="238B0FF1"/>
    <w:rsid w:val="36F57325"/>
    <w:rsid w:val="3B9B16AC"/>
    <w:rsid w:val="3F26027D"/>
    <w:rsid w:val="45A22EDB"/>
    <w:rsid w:val="4C86472B"/>
    <w:rsid w:val="4CE32DEC"/>
    <w:rsid w:val="7DE17AFF"/>
    <w:rsid w:val="7EA84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2021-05-14T01:09:30Z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61C1450D20FF4029BE5B586E5C87B713</vt:lpwstr>
  </property>
</Properties>
</file>