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行政部、生产技术部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、市场部，陪同人员：朱赟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审核员：李林、罗田、谢梦洋，审核时间：2021年04月1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李林、罗田、谢梦洋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  <w:t>四川川富戎包装材料有限公司于2008年3月成立，法定代表人涂万其，注册资本2000万元。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  <w:t>公司经营范围：加工、销售纸制品包装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  <w:t>。现场查看营业执照真实有效。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该公司目前成立了三个部门：行政部、生产技术部、市场部。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</w:t>
            </w:r>
            <w:bookmarkStart w:id="0" w:name="生产地址"/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公司注册地址：</w:t>
            </w:r>
            <w:bookmarkStart w:id="1" w:name="注册地址"/>
            <w:r>
              <w:t>富顺县代寺镇双河路336号等2处</w:t>
            </w:r>
            <w:bookmarkEnd w:id="1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bookmarkEnd w:id="0"/>
            <w:r>
              <w:t>富顺县代寺镇双河种336号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纸箱的加工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宋体" w:hAnsi="宋体"/>
                <w:bCs/>
                <w:iCs/>
                <w:szCs w:val="22"/>
                <w:highlight w:val="none"/>
                <w:lang w:val="en-US" w:eastAsia="zh-CN"/>
              </w:rPr>
              <w:t>全自动贴面机、全自动模切机、五色高速印刷机、全自动高速粘箱机、高速碰线机、半自动钉箱机、薄刀分切机等65台套</w:t>
            </w:r>
            <w:r>
              <w:rPr>
                <w:rFonts w:hint="eastAsia" w:ascii="宋体" w:hAnsi="宋体"/>
                <w:sz w:val="21"/>
                <w:szCs w:val="21"/>
              </w:rPr>
              <w:t>生产相关设备</w:t>
            </w:r>
          </w:p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----外包过程：无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----特殊过程的识别：无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----关键过程的识别：</w:t>
            </w:r>
            <w:r>
              <w:rPr>
                <w:rFonts w:hint="eastAsia" w:ascii="宋体" w:hAnsi="宋体" w:cs="宋体"/>
                <w:sz w:val="21"/>
                <w:szCs w:val="21"/>
              </w:rPr>
              <w:t>成型、印刷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行政部、生产技术部、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3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中华人民共和国民法典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中华人民共和国质量法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GB/T19001-2016质量管理体系 要求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GB/T 16717-2013 包装容器 重型瓦楞纸箱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运输包装用单瓦楞纸箱和双瓦楞纸箱GB/T6543-2008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纸箱板GB/T3024-2016等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pStyle w:val="13"/>
              <w:rPr>
                <w:rFonts w:hint="eastAsia"/>
                <w:szCs w:val="21"/>
              </w:rPr>
            </w:pPr>
          </w:p>
          <w:p>
            <w:pPr>
              <w:pStyle w:val="13"/>
              <w:rPr>
                <w:rFonts w:hint="eastAsia"/>
                <w:szCs w:val="21"/>
              </w:rPr>
            </w:pPr>
          </w:p>
          <w:p>
            <w:pPr>
              <w:pStyle w:val="13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pStyle w:val="13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原材料----印刷---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压线----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成型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（开槽、模切）---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订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箱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或粘箱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）---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打包---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入库（普通箱）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外协印刷彩面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----裱瓦----模切----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订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箱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或粘箱</w:t>
            </w:r>
            <w:r>
              <w:rPr>
                <w:rFonts w:hint="eastAsia" w:ascii="Times New Roman" w:hAnsi="Times New Roman" w:eastAsia="宋体" w:cs="Times New Roman"/>
                <w:szCs w:val="21"/>
                <w:lang w:val="zh-CN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----打包----入库（彩箱）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8.3条款，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公司的纸箱的加工过程按客户要求及相关国家标准进行，生产工艺成熟固定，整个生产过程不涉及新产品的设计开发的内容，故8.3不适用。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不适用条款</w:t>
            </w: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不影响公司提供满足顾客和适用的法律法规要求的服务的能力。</w:t>
            </w:r>
          </w:p>
          <w:p>
            <w:pPr>
              <w:pStyle w:val="13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pStyle w:val="13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pStyle w:val="13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司的质量目标：</w:t>
            </w:r>
          </w:p>
          <w:p>
            <w:pPr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 xml:space="preserve">一次交验合格率≥95%； 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产品出厂合格率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达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100%；</w:t>
            </w:r>
          </w:p>
          <w:p>
            <w:pP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顾客满意度≥95%；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经2020年8月-2021年3月完成情况统计，均满足质量目标要求。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瓦楞纸板、里纸、面纸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电工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Cs w:val="22"/>
                <w:highlight w:val="none"/>
                <w:lang w:val="en-US" w:eastAsia="zh-CN"/>
              </w:rPr>
              <w:t>全自动贴面机、全自动模切机、五色高速印刷机、全自动高速粘箱机、高速碰线机、半自动钉箱机、薄刀分切机等65台套</w:t>
            </w:r>
            <w:r>
              <w:rPr>
                <w:rFonts w:hint="eastAsia" w:ascii="宋体" w:hAnsi="宋体"/>
                <w:sz w:val="21"/>
                <w:szCs w:val="21"/>
              </w:rPr>
              <w:t>生产相关设备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13"/>
            </w:pP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储气罐1套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钢卷尺、</w:t>
            </w:r>
            <w:r>
              <w:rPr>
                <w:rFonts w:hint="eastAsia"/>
                <w:lang w:val="en-US" w:eastAsia="zh-CN"/>
              </w:rPr>
              <w:t>分析天平、烘箱、</w:t>
            </w:r>
            <w:r>
              <w:rPr>
                <w:rFonts w:hint="eastAsia"/>
                <w:highlight w:val="none"/>
                <w:lang w:val="en-US" w:eastAsia="zh-CN"/>
              </w:rPr>
              <w:t>智能数显温控仪、电脑纸箱板综合测试仪、定量试样取样器、微电脑程控抗压强度测试仪</w:t>
            </w:r>
            <w:r>
              <w:rPr>
                <w:rFonts w:hint="eastAsia"/>
                <w:highlight w:val="none"/>
              </w:rPr>
              <w:t>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遵纪守法、质量为本、顾客满意、持续改进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见有《</w:t>
            </w:r>
            <w:r>
              <w:rPr>
                <w:rFonts w:hint="eastAsia" w:ascii="宋体" w:hAnsi="宋体" w:cs="Times New Roman"/>
                <w:szCs w:val="21"/>
                <w:highlight w:val="none"/>
              </w:rPr>
              <w:t>内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部审核计划表》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内审时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间：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内审组：组长：涂万其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组员：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徐明琴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见有：《内审不符合项报告》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份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管理层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不符合标准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款，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查公司员工对质量方针不熟悉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，针对该不符合项，已及时采取纠正措施后，经内审员验证关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闭。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管理评审：</w:t>
            </w:r>
          </w:p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时间</w:t>
            </w:r>
          </w:p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输入是否完整</w:t>
            </w:r>
          </w:p>
          <w:p>
            <w:pPr>
              <w:spacing w:line="400" w:lineRule="exact"/>
              <w:rPr>
                <w:highlight w:val="none"/>
              </w:rPr>
            </w:pPr>
          </w:p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提出的改进内容</w:t>
            </w:r>
          </w:p>
          <w:p>
            <w:pPr>
              <w:spacing w:line="400" w:lineRule="exact"/>
              <w:rPr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pStyle w:val="3"/>
              <w:rPr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管理评审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于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年11 月2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日由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2"/>
                <w:highlight w:val="none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见“管理评审报告”, 做出了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管理体系基本适宜、充分和有效的评审结论。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提供有《管理评审报告》：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评审内容摘要：检查体系运行的适宜性、充分性和有效性，同时评价质量管理体系包括质量方针、目标改进的机会和变更的需要。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管理评审结论：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a)对内审发现的不符合已经整改关闭，纠正后对产品质量起到促进作用；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b)自体系运行实施以来，对于顾客的投诉现象，我们设有营销部能及时收集客户的反馈信息，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eastAsia="zh-CN"/>
              </w:rPr>
              <w:t>质量部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派人现场处理，并能够满足顾客更高的要求和期望；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c)通过体系运行，我们规范了管理，生产过程质量比较稳定，完善了各项改进措施和产品的符合性；工艺技术文件的管理需有待加强；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d)通过内审、数据分析和顾客满意度调查，初步建立了自我完善机制；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e)公司的质量方针和目标正在贯彻实施中，是适宜的；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 xml:space="preserve">f) 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在体系的运行中，从管理层到员工对此项工作都给予了重视，大家都积极参于、配合工作。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改进建议：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1、加强销售人员对销售服务意识及销售技巧的培训；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2、加强生产技术的培训。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D463D"/>
    <w:rsid w:val="019024EC"/>
    <w:rsid w:val="071D508A"/>
    <w:rsid w:val="07CC6933"/>
    <w:rsid w:val="08466475"/>
    <w:rsid w:val="0C4D7B54"/>
    <w:rsid w:val="0EE862C1"/>
    <w:rsid w:val="108C6962"/>
    <w:rsid w:val="11E76442"/>
    <w:rsid w:val="12A15DB9"/>
    <w:rsid w:val="12DA53F8"/>
    <w:rsid w:val="1341628D"/>
    <w:rsid w:val="19863293"/>
    <w:rsid w:val="1A1E72C9"/>
    <w:rsid w:val="1B3C356A"/>
    <w:rsid w:val="1BC02346"/>
    <w:rsid w:val="1BE92EB1"/>
    <w:rsid w:val="1CE76442"/>
    <w:rsid w:val="1DCF07F3"/>
    <w:rsid w:val="21580E05"/>
    <w:rsid w:val="22275D32"/>
    <w:rsid w:val="23BA0E11"/>
    <w:rsid w:val="24905788"/>
    <w:rsid w:val="26017C91"/>
    <w:rsid w:val="28716084"/>
    <w:rsid w:val="2AD60F7B"/>
    <w:rsid w:val="2BD80AE6"/>
    <w:rsid w:val="2BDF4A8C"/>
    <w:rsid w:val="363265BD"/>
    <w:rsid w:val="38F6792F"/>
    <w:rsid w:val="39C4092F"/>
    <w:rsid w:val="3AA63958"/>
    <w:rsid w:val="3BBD19C2"/>
    <w:rsid w:val="403F0934"/>
    <w:rsid w:val="43212BDA"/>
    <w:rsid w:val="46114B54"/>
    <w:rsid w:val="50EE71E8"/>
    <w:rsid w:val="52693F7A"/>
    <w:rsid w:val="5275284E"/>
    <w:rsid w:val="52DA57CA"/>
    <w:rsid w:val="5A1A7034"/>
    <w:rsid w:val="6631090E"/>
    <w:rsid w:val="6E7828A5"/>
    <w:rsid w:val="6F851F69"/>
    <w:rsid w:val="6F984149"/>
    <w:rsid w:val="73582A9F"/>
    <w:rsid w:val="738263C8"/>
    <w:rsid w:val="73E3736F"/>
    <w:rsid w:val="77ED5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2021-04-16T03:18:53Z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8E5F713DC9DF4BB5AA861661CB0605D9</vt:lpwstr>
  </property>
</Properties>
</file>