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690"/>
        <w:gridCol w:w="720"/>
        <w:gridCol w:w="149"/>
        <w:gridCol w:w="1134"/>
        <w:gridCol w:w="1559"/>
        <w:gridCol w:w="567"/>
        <w:gridCol w:w="866"/>
        <w:gridCol w:w="552"/>
        <w:gridCol w:w="425"/>
        <w:gridCol w:w="425"/>
        <w:gridCol w:w="16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四川富戎包装材料有限公司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0320-2021-Q</w:t>
            </w:r>
            <w:bookmarkEnd w:id="1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朱贇</w:t>
            </w:r>
            <w:bookmarkEnd w:id="5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15892248693</w:t>
            </w:r>
            <w:bookmarkEnd w:id="6"/>
          </w:p>
        </w:tc>
        <w:tc>
          <w:tcPr>
            <w:tcW w:w="97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9252721@20qq。Com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涂万其</w:t>
            </w:r>
            <w:bookmarkEnd w:id="9"/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3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97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bookmarkStart w:id="11" w:name="审核范围"/>
            <w:r>
              <w:t>纸箱的加工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07.02.01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2021年04月14日 上午至2021年04月14日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5" w:name="_GoBack"/>
            <w:bookmarkEnd w:id="15"/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13882361742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谢梦洋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C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13540135937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283" w:type="dxa"/>
            <w:gridSpan w:val="2"/>
            <w:vAlign w:val="center"/>
          </w:tcPr>
          <w:p/>
        </w:tc>
        <w:tc>
          <w:tcPr>
            <w:tcW w:w="2992" w:type="dxa"/>
            <w:gridSpan w:val="3"/>
            <w:vAlign w:val="center"/>
          </w:tcPr>
          <w:p/>
        </w:tc>
        <w:tc>
          <w:tcPr>
            <w:tcW w:w="1562" w:type="dxa"/>
            <w:gridSpan w:val="4"/>
            <w:vAlign w:val="center"/>
          </w:tcPr>
          <w:p/>
        </w:tc>
        <w:tc>
          <w:tcPr>
            <w:tcW w:w="14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2021.04.10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37"/>
        <w:gridCol w:w="705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（12：00~13：00休息1小时）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⑼确定管理层二阶段审核的重点。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⑿适用法律法规、技术标准识别的充分性，收集合规性的证据。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0~17：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54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2021-04-16T02:23:28Z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96EFEE9BFE2F42BB8181EB5961CEC629</vt:lpwstr>
  </property>
</Properties>
</file>