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0312-2021-Q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西安派克电子智能科技有限公司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bookmarkStart w:id="24" w:name="_GoBack"/>
      <w:bookmarkEnd w:id="24"/>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郭力</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强兴</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19.05.01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w:t>
      </w:r>
      <w:r>
        <w:rPr>
          <w:rFonts w:hint="eastAsia" w:ascii="宋体" w:hAnsi="宋体"/>
          <w:b/>
          <w:color w:val="000000"/>
          <w:spacing w:val="-10"/>
          <w:sz w:val="20"/>
          <w:szCs w:val="20"/>
        </w:rPr>
        <w:t>版。</w:t>
      </w: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西安派克电子智能科技有限公司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陕西省西安市雁塔区太白南路191号崇立金世园1幢1单元12504室</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710000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陕西省西安市雁塔区鱼斗路238号办公楼四楼</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710000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罗丽娜</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13389207092</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刘效洒</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刘磊</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652404365@qq.com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区域控制单元的组装</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19.05.01</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部门：生产部、市场部、行政部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办公区域、组装区域</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sym w:font="Wingdings 2" w:char="00A3"/>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产品：区域控制单元的组装</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公司部门设置：生产部、市场部、行政部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管理体系推进部门：行政部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质量管理部门：生产部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客户的场所：陕西省西安市雁塔区鱼斗路238号办公楼四楼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受审核方位于：陕西省西安市雁塔区鱼斗路238号办公楼四楼</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t>□租用办公用房</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2" w:char="0052"/>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rPr>
              <w:sym w:font="Wingdings 2" w:char="0052"/>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sym w:font="Wingdings 2" w:char="0052"/>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产品技术标准号：信息技术设备安全 第1部分：通用要求GB 4943.1-2011、计算机软件测试规范GB/T 15532-2008、计算机场地安全要求GB/T 9361-2011、系统接地的型式及安全技术要求GB 14050-2008□合同：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r>
              <w:rPr>
                <w:rFonts w:hint="eastAsia" w:ascii="宋体"/>
                <w:color w:val="000000"/>
                <w:sz w:val="20"/>
                <w:szCs w:val="20"/>
              </w:rPr>
              <w:t>客户意向（合同签订）-原材料（含外协件）采购入库-组装-调试-出厂检验-出货交付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关键过程有：</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需要确认过程：</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壳体加工、印制电路板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是否明确了外包过程的控制方法：</w:t>
            </w:r>
            <w:r>
              <w:rPr>
                <w:rFonts w:hint="eastAsia" w:ascii="宋体" w:hAns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pacing w:val="-10"/>
                <w:sz w:val="20"/>
                <w:szCs w:val="20"/>
              </w:rPr>
              <w:t>主要设备：</w:t>
            </w:r>
            <w:r>
              <w:rPr>
                <w:rFonts w:hint="eastAsia" w:ascii="宋体" w:hAnsi="宋体"/>
                <w:color w:val="000000"/>
                <w:spacing w:val="-10"/>
                <w:sz w:val="20"/>
                <w:szCs w:val="20"/>
                <w:lang w:val="en-US" w:eastAsia="zh-CN"/>
              </w:rPr>
              <w:t>笔记本、钳子、万用表、螺丝刀、电烙铁、扳手、剪刀等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rPr>
              <w:sym w:font="Wingdings 2" w:char="0052"/>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监视和测量设备（请简述主要监视和测量设备）：数字万用表、游标卡尺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hint="eastAsia" w:ascii="宋体" w:eastAsia="宋体"/>
                <w:color w:val="000000"/>
                <w:sz w:val="20"/>
                <w:szCs w:val="20"/>
                <w:lang w:val="en-US" w:eastAsia="zh-CN"/>
              </w:rPr>
            </w:pPr>
            <w:r>
              <w:rPr>
                <w:rFonts w:hint="eastAsia" w:ascii="宋体"/>
                <w:color w:val="000000"/>
                <w:sz w:val="20"/>
                <w:szCs w:val="20"/>
                <w:lang w:val="en-US" w:eastAsia="zh-CN"/>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15</w:t>
            </w:r>
            <w:r>
              <w:rPr>
                <w:rFonts w:hint="eastAsia" w:ascii="宋体"/>
                <w:color w:val="000000"/>
                <w:sz w:val="20"/>
                <w:szCs w:val="20"/>
              </w:rPr>
              <w:t>人，其中管理人员：</w:t>
            </w:r>
            <w:r>
              <w:rPr>
                <w:rFonts w:hint="eastAsia" w:ascii="宋体"/>
                <w:color w:val="000000"/>
                <w:sz w:val="20"/>
                <w:szCs w:val="20"/>
                <w:lang w:val="en-US" w:eastAsia="zh-CN"/>
              </w:rPr>
              <w:t>3</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生产部</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组装过程</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组装场所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vAlign w:val="top"/>
          </w:tcPr>
          <w:p>
            <w:pPr>
              <w:spacing w:line="360" w:lineRule="auto"/>
              <w:rPr>
                <w:rFonts w:hint="eastAsia" w:ascii="宋体" w:hAnsi="宋体"/>
                <w:b w:val="0"/>
                <w:bCs/>
                <w:color w:val="000000"/>
                <w:sz w:val="21"/>
                <w:szCs w:val="21"/>
              </w:rPr>
            </w:pPr>
            <w:r>
              <w:rPr>
                <w:rFonts w:hint="eastAsia" w:ascii="宋体" w:hAnsi="宋体"/>
                <w:b/>
                <w:color w:val="000000"/>
                <w:sz w:val="21"/>
                <w:szCs w:val="21"/>
              </w:rPr>
              <w:t>了解内审的策划</w:t>
            </w:r>
            <w:r>
              <w:rPr>
                <w:rFonts w:ascii="宋体" w:hAnsi="宋体"/>
                <w:b/>
                <w:color w:val="000000"/>
                <w:sz w:val="21"/>
                <w:szCs w:val="21"/>
              </w:rPr>
              <w:t>;</w:t>
            </w:r>
            <w:r>
              <w:rPr>
                <w:rFonts w:ascii="宋体" w:hAnsi="宋体"/>
                <w:b w:val="0"/>
                <w:bCs/>
                <w:color w:val="000000"/>
                <w:sz w:val="21"/>
                <w:szCs w:val="21"/>
              </w:rPr>
              <w:t xml:space="preserve"> </w:t>
            </w:r>
            <w:r>
              <w:rPr>
                <w:rFonts w:hint="eastAsia" w:ascii="宋体" w:hAnsi="宋体"/>
                <w:b w:val="0"/>
                <w:bCs/>
                <w:color w:val="000000"/>
                <w:sz w:val="21"/>
                <w:szCs w:val="21"/>
              </w:rPr>
              <w:t>建立有《内部质量体系审核程序》</w:t>
            </w:r>
          </w:p>
          <w:p>
            <w:pPr>
              <w:spacing w:line="360" w:lineRule="auto"/>
              <w:rPr>
                <w:rFonts w:hint="eastAsia" w:ascii="宋体" w:hAnsi="宋体"/>
                <w:b w:val="0"/>
                <w:bCs/>
                <w:color w:val="000000"/>
                <w:sz w:val="21"/>
                <w:szCs w:val="21"/>
              </w:rPr>
            </w:pPr>
            <w:r>
              <w:rPr>
                <w:rFonts w:hint="eastAsia" w:ascii="宋体" w:hAnsi="宋体"/>
                <w:b w:val="0"/>
                <w:bCs/>
                <w:color w:val="000000"/>
                <w:sz w:val="21"/>
                <w:szCs w:val="21"/>
              </w:rPr>
              <w:t>见有《内部审核计划表》</w:t>
            </w:r>
          </w:p>
          <w:p>
            <w:pPr>
              <w:spacing w:line="360" w:lineRule="auto"/>
              <w:rPr>
                <w:rFonts w:hint="eastAsia" w:ascii="宋体" w:hAnsi="宋体" w:eastAsia="宋体" w:cs="Times New Roman"/>
                <w:b w:val="0"/>
                <w:bCs/>
                <w:color w:val="000000"/>
                <w:sz w:val="21"/>
                <w:szCs w:val="21"/>
              </w:rPr>
            </w:pPr>
            <w:r>
              <w:rPr>
                <w:rFonts w:hint="eastAsia" w:ascii="宋体" w:hAnsi="宋体"/>
                <w:b w:val="0"/>
                <w:bCs/>
                <w:color w:val="000000"/>
                <w:sz w:val="21"/>
                <w:szCs w:val="21"/>
              </w:rPr>
              <w:t>内审时间</w:t>
            </w:r>
            <w:r>
              <w:rPr>
                <w:rFonts w:hint="eastAsia" w:ascii="宋体" w:hAnsi="宋体" w:eastAsia="宋体" w:cs="Times New Roman"/>
                <w:b w:val="0"/>
                <w:bCs/>
                <w:color w:val="000000"/>
                <w:sz w:val="21"/>
                <w:szCs w:val="21"/>
              </w:rPr>
              <w:t>：20</w:t>
            </w:r>
            <w:r>
              <w:rPr>
                <w:rFonts w:hint="eastAsia" w:ascii="宋体" w:hAnsi="宋体" w:eastAsia="宋体" w:cs="Times New Roman"/>
                <w:b w:val="0"/>
                <w:bCs/>
                <w:color w:val="000000"/>
                <w:sz w:val="21"/>
                <w:szCs w:val="21"/>
                <w:lang w:val="en-US" w:eastAsia="zh-CN"/>
              </w:rPr>
              <w:t>20</w:t>
            </w:r>
            <w:r>
              <w:rPr>
                <w:rFonts w:hint="eastAsia" w:ascii="宋体" w:hAnsi="宋体" w:eastAsia="宋体" w:cs="Times New Roman"/>
                <w:b w:val="0"/>
                <w:bCs/>
                <w:color w:val="000000"/>
                <w:sz w:val="21"/>
                <w:szCs w:val="21"/>
              </w:rPr>
              <w:t>年</w:t>
            </w:r>
            <w:r>
              <w:rPr>
                <w:rFonts w:hint="eastAsia" w:ascii="宋体" w:hAnsi="宋体" w:eastAsia="宋体" w:cs="Times New Roman"/>
                <w:b w:val="0"/>
                <w:bCs/>
                <w:color w:val="000000"/>
                <w:sz w:val="21"/>
                <w:szCs w:val="21"/>
                <w:lang w:val="en-US" w:eastAsia="zh-CN"/>
              </w:rPr>
              <w:t>12</w:t>
            </w:r>
            <w:r>
              <w:rPr>
                <w:rFonts w:hint="eastAsia" w:ascii="宋体" w:hAnsi="宋体" w:eastAsia="宋体" w:cs="Times New Roman"/>
                <w:b w:val="0"/>
                <w:bCs/>
                <w:color w:val="000000"/>
                <w:sz w:val="21"/>
                <w:szCs w:val="21"/>
              </w:rPr>
              <w:t>月</w:t>
            </w:r>
            <w:r>
              <w:rPr>
                <w:rFonts w:hint="eastAsia" w:ascii="宋体" w:hAnsi="宋体" w:eastAsia="宋体" w:cs="Times New Roman"/>
                <w:b w:val="0"/>
                <w:bCs/>
                <w:color w:val="000000"/>
                <w:sz w:val="21"/>
                <w:szCs w:val="21"/>
                <w:lang w:val="en-US" w:eastAsia="zh-CN"/>
              </w:rPr>
              <w:t>11-12</w:t>
            </w:r>
            <w:r>
              <w:rPr>
                <w:rFonts w:hint="eastAsia" w:ascii="宋体" w:hAnsi="宋体" w:eastAsia="宋体" w:cs="Times New Roman"/>
                <w:b w:val="0"/>
                <w:bCs/>
                <w:color w:val="000000"/>
                <w:sz w:val="21"/>
                <w:szCs w:val="21"/>
              </w:rPr>
              <w:t xml:space="preserve">日       </w:t>
            </w:r>
          </w:p>
          <w:p>
            <w:pPr>
              <w:spacing w:line="360" w:lineRule="auto"/>
              <w:rPr>
                <w:rFonts w:ascii="宋体"/>
                <w:b/>
                <w:color w:val="000000"/>
                <w:sz w:val="20"/>
                <w:szCs w:val="20"/>
              </w:rPr>
            </w:pPr>
            <w:r>
              <w:rPr>
                <w:rFonts w:hint="eastAsia" w:ascii="宋体" w:hAnsi="宋体" w:eastAsia="宋体" w:cs="Times New Roman"/>
                <w:b w:val="0"/>
                <w:bCs/>
                <w:color w:val="000000"/>
                <w:sz w:val="21"/>
                <w:szCs w:val="21"/>
              </w:rPr>
              <w:t>内审组：</w:t>
            </w:r>
            <w:r>
              <w:rPr>
                <w:rFonts w:hint="eastAsia" w:ascii="宋体" w:hAnsi="宋体" w:eastAsia="宋体" w:cs="宋体"/>
                <w:sz w:val="21"/>
                <w:szCs w:val="21"/>
              </w:rPr>
              <w:t>组长：</w:t>
            </w:r>
            <w:r>
              <w:rPr>
                <w:rFonts w:hint="eastAsia" w:ascii="宋体" w:hAnsi="宋体" w:eastAsia="宋体" w:cs="宋体"/>
                <w:sz w:val="21"/>
                <w:szCs w:val="21"/>
                <w:lang w:val="en-US" w:eastAsia="zh-CN"/>
              </w:rPr>
              <w:t>刘磊</w:t>
            </w:r>
            <w:r>
              <w:rPr>
                <w:rFonts w:hint="eastAsia" w:ascii="宋体" w:hAnsi="宋体" w:eastAsia="宋体" w:cs="宋体"/>
                <w:sz w:val="21"/>
                <w:szCs w:val="21"/>
                <w:lang w:eastAsia="zh-CN"/>
              </w:rPr>
              <w:t>，</w:t>
            </w:r>
            <w:r>
              <w:rPr>
                <w:rFonts w:hint="eastAsia" w:ascii="宋体" w:hAnsi="宋体" w:eastAsia="宋体" w:cs="宋体"/>
                <w:sz w:val="21"/>
                <w:szCs w:val="21"/>
              </w:rPr>
              <w:t>组员：</w:t>
            </w:r>
            <w:r>
              <w:rPr>
                <w:rFonts w:hint="eastAsia" w:ascii="宋体" w:hAnsi="宋体" w:eastAsia="宋体" w:cs="宋体"/>
                <w:sz w:val="21"/>
                <w:szCs w:val="21"/>
                <w:lang w:val="en-US" w:eastAsia="zh-CN"/>
              </w:rPr>
              <w:t>罗丽娜</w:t>
            </w:r>
            <w:r>
              <w:rPr>
                <w:rFonts w:hint="eastAsia" w:ascii="宋体" w:hAnsi="宋体" w:eastAsia="宋体" w:cs="Times New Roman"/>
                <w:b w:val="0"/>
                <w:bCs/>
                <w:color w:val="00000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360" w:lineRule="auto"/>
              <w:rPr>
                <w:rFonts w:hint="eastAsia" w:ascii="宋体" w:hAnsi="宋体"/>
                <w:b w:val="0"/>
                <w:bCs/>
                <w:color w:val="000000"/>
                <w:sz w:val="21"/>
                <w:szCs w:val="21"/>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val="0"/>
                <w:bCs/>
                <w:color w:val="000000"/>
                <w:sz w:val="21"/>
                <w:szCs w:val="21"/>
              </w:rPr>
              <w:t>是</w:t>
            </w:r>
          </w:p>
          <w:p>
            <w:pPr>
              <w:spacing w:line="360" w:lineRule="auto"/>
              <w:rPr>
                <w:rFonts w:hint="eastAsia" w:ascii="宋体" w:hAnsi="宋体"/>
                <w:b w:val="0"/>
                <w:bCs/>
                <w:color w:val="000000"/>
                <w:sz w:val="21"/>
                <w:szCs w:val="21"/>
              </w:rPr>
            </w:pPr>
            <w:r>
              <w:rPr>
                <w:rFonts w:hint="eastAsia" w:ascii="宋体" w:hAnsi="宋体"/>
                <w:b w:val="0"/>
                <w:bCs/>
                <w:color w:val="000000"/>
                <w:sz w:val="21"/>
                <w:szCs w:val="21"/>
              </w:rPr>
              <w:t>审核范围:管理体系涉及的公司所有部门、生产车间及活动场所。</w:t>
            </w:r>
          </w:p>
          <w:p>
            <w:pPr>
              <w:spacing w:line="360" w:lineRule="auto"/>
              <w:rPr>
                <w:rFonts w:ascii="宋体"/>
                <w:b/>
                <w:color w:val="000000"/>
                <w:sz w:val="20"/>
                <w:szCs w:val="20"/>
              </w:rPr>
            </w:pPr>
            <w:r>
              <w:rPr>
                <w:rFonts w:hint="eastAsia" w:ascii="宋体" w:hAnsi="宋体"/>
                <w:b w:val="0"/>
                <w:bCs/>
                <w:color w:val="000000"/>
                <w:sz w:val="21"/>
                <w:szCs w:val="21"/>
              </w:rPr>
              <w:t>审核准则：a.GB/T 19001:2016标准； b.本公司管理体系文件；c.相关的法律法规； d.顾客及相关方要求等。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360" w:lineRule="auto"/>
              <w:rPr>
                <w:rFonts w:hint="eastAsia" w:ascii="宋体" w:hAnsi="宋体"/>
                <w:b/>
                <w:color w:val="000000"/>
                <w:sz w:val="20"/>
                <w:szCs w:val="20"/>
              </w:rPr>
            </w:pPr>
            <w:r>
              <w:rPr>
                <w:rFonts w:hint="eastAsia" w:ascii="宋体" w:hAnsi="宋体"/>
                <w:b/>
                <w:color w:val="000000"/>
                <w:sz w:val="20"/>
                <w:szCs w:val="20"/>
              </w:rPr>
              <w:t>了解内审结论是什么？</w:t>
            </w:r>
          </w:p>
          <w:p>
            <w:pPr>
              <w:spacing w:line="360" w:lineRule="auto"/>
              <w:rPr>
                <w:rFonts w:ascii="宋体"/>
                <w:b/>
                <w:color w:val="000000"/>
                <w:sz w:val="20"/>
                <w:szCs w:val="20"/>
              </w:rPr>
            </w:pPr>
            <w:r>
              <w:rPr>
                <w:rFonts w:hint="eastAsia" w:ascii="宋体" w:hAnsi="宋体"/>
                <w:b w:val="0"/>
                <w:bCs/>
                <w:color w:val="000000"/>
                <w:sz w:val="20"/>
                <w:szCs w:val="20"/>
              </w:rPr>
              <w:t>本次内审对GB/T 19001:2016标准体系文件管理手册、体系文件进行了全面检查，通过审核可以看出管理体系已基本进入了正常状态，但仍存在一些问题，需要完善现场作业及加强各类人员的培训。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spacing w:line="360" w:lineRule="auto"/>
              <w:rPr>
                <w:rFonts w:ascii="宋体" w:hAns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p>
          <w:p>
            <w:pPr>
              <w:spacing w:line="360" w:lineRule="auto"/>
              <w:rPr>
                <w:rFonts w:ascii="宋体"/>
                <w:b/>
                <w:color w:val="000000"/>
                <w:sz w:val="20"/>
                <w:szCs w:val="20"/>
              </w:rPr>
            </w:pPr>
            <w:r>
              <w:rPr>
                <w:rFonts w:hint="eastAsia"/>
                <w:szCs w:val="21"/>
              </w:rPr>
              <w:t>建立有《管理评审控制程序》，于</w:t>
            </w:r>
            <w:r>
              <w:rPr>
                <w:rFonts w:hint="eastAsia" w:ascii="宋体" w:hAnsi="宋体"/>
                <w:kern w:val="0"/>
                <w:sz w:val="21"/>
                <w:szCs w:val="21"/>
                <w:lang w:eastAsia="zh-CN"/>
              </w:rPr>
              <w:t>20</w:t>
            </w:r>
            <w:r>
              <w:rPr>
                <w:rFonts w:hint="eastAsia" w:ascii="宋体" w:hAnsi="宋体"/>
                <w:kern w:val="0"/>
                <w:sz w:val="21"/>
                <w:szCs w:val="21"/>
                <w:lang w:val="en-US" w:eastAsia="zh-CN"/>
              </w:rPr>
              <w:t>20</w:t>
            </w:r>
            <w:r>
              <w:rPr>
                <w:rFonts w:hint="eastAsia" w:ascii="宋体" w:hAnsi="宋体"/>
                <w:kern w:val="0"/>
                <w:sz w:val="21"/>
                <w:szCs w:val="21"/>
                <w:lang w:eastAsia="zh-CN"/>
              </w:rPr>
              <w:t>年</w:t>
            </w:r>
            <w:r>
              <w:rPr>
                <w:rFonts w:hint="eastAsia" w:ascii="宋体" w:hAnsi="宋体"/>
                <w:kern w:val="0"/>
                <w:sz w:val="21"/>
                <w:szCs w:val="21"/>
                <w:lang w:val="en-US" w:eastAsia="zh-CN"/>
              </w:rPr>
              <w:t>12</w:t>
            </w:r>
            <w:r>
              <w:rPr>
                <w:rFonts w:hint="eastAsia" w:ascii="宋体" w:hAnsi="宋体"/>
                <w:kern w:val="0"/>
                <w:sz w:val="21"/>
                <w:szCs w:val="21"/>
                <w:lang w:eastAsia="zh-CN"/>
              </w:rPr>
              <w:t>月</w:t>
            </w:r>
            <w:r>
              <w:rPr>
                <w:rFonts w:hint="eastAsia" w:ascii="宋体" w:hAnsi="宋体"/>
                <w:kern w:val="0"/>
                <w:sz w:val="21"/>
                <w:szCs w:val="21"/>
                <w:lang w:val="en-US" w:eastAsia="zh-CN"/>
              </w:rPr>
              <w:t>26</w:t>
            </w:r>
            <w:r>
              <w:rPr>
                <w:rFonts w:hint="eastAsia" w:ascii="宋体" w:hAnsi="宋体"/>
                <w:kern w:val="0"/>
                <w:sz w:val="21"/>
                <w:szCs w:val="21"/>
                <w:lang w:eastAsia="zh-CN"/>
              </w:rPr>
              <w:t>日</w:t>
            </w:r>
            <w:r>
              <w:rPr>
                <w:rFonts w:hint="eastAsia"/>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360" w:lineRule="auto"/>
              <w:rPr>
                <w:rFonts w:hint="eastAsia" w:eastAsia="宋体"/>
                <w:lang w:val="en-US" w:eastAsia="zh-CN"/>
              </w:rPr>
            </w:pPr>
            <w:r>
              <w:rPr>
                <w:rFonts w:hint="eastAsia"/>
                <w:b/>
                <w:bCs/>
              </w:rPr>
              <w:t>了解管理评审输入是否充分</w:t>
            </w:r>
            <w:r>
              <w:t xml:space="preserve">; </w:t>
            </w:r>
            <w:r>
              <w:rPr>
                <w:rFonts w:hint="eastAsia"/>
                <w:lang w:val="en-US" w:eastAsia="zh-CN"/>
              </w:rPr>
              <w:t>是</w:t>
            </w:r>
          </w:p>
          <w:p>
            <w:pPr>
              <w:pStyle w:val="2"/>
              <w:spacing w:line="360" w:lineRule="auto"/>
              <w:rPr>
                <w:rFonts w:ascii="宋体"/>
                <w:b/>
                <w:color w:val="000000"/>
                <w:sz w:val="20"/>
                <w:szCs w:val="20"/>
              </w:rPr>
            </w:pPr>
            <w:r>
              <w:rPr>
                <w:rFonts w:hint="eastAsia" w:ascii="Times New Roman" w:hAnsi="Times New Roman" w:eastAsia="宋体" w:cs="Times New Roman"/>
                <w:kern w:val="2"/>
                <w:sz w:val="21"/>
                <w:szCs w:val="21"/>
                <w:lang w:val="en-US" w:eastAsia="zh-CN" w:bidi="ar-SA"/>
              </w:rPr>
              <w:t>提供主要输入材料有：各部门总结、质量体系运行报告，输入信息基本充分和满足要求。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360" w:lineRule="auto"/>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hint="eastAsia" w:ascii="宋体" w:eastAsia="宋体"/>
                <w:b/>
                <w:color w:val="000000"/>
                <w:sz w:val="20"/>
                <w:szCs w:val="20"/>
                <w:lang w:val="en-US"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val="en-US" w:eastAsia="zh-CN"/>
              </w:rPr>
              <w:t>是</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sym w:font="Wingdings 2" w:char="0052"/>
      </w:r>
      <w:r>
        <w:rPr>
          <w:rFonts w:hint="eastAsia" w:ascii="宋体" w:hAnsi="宋体"/>
          <w:b/>
          <w:color w:val="000000"/>
          <w:sz w:val="20"/>
          <w:szCs w:val="20"/>
        </w:rPr>
        <w:t>范围无变化见初定的管理体系认证范围：区域控制单元的组装</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ascii="宋体"/>
          <w:b/>
          <w:bCs/>
          <w:color w:val="000000"/>
          <w:sz w:val="26"/>
          <w:szCs w:val="26"/>
        </w:rPr>
      </w:pPr>
      <w:r>
        <w:rPr>
          <w:rFonts w:hint="eastAsia" w:ascii="宋体" w:eastAsia="宋体"/>
          <w:b/>
          <w:bCs/>
          <w:color w:val="000000"/>
          <w:sz w:val="26"/>
          <w:szCs w:val="26"/>
          <w:lang w:eastAsia="zh-CN"/>
        </w:rPr>
        <w:drawing>
          <wp:anchor distT="0" distB="0" distL="114300" distR="114300" simplePos="0" relativeHeight="251659264" behindDoc="0" locked="0" layoutInCell="1" allowOverlap="1">
            <wp:simplePos x="0" y="0"/>
            <wp:positionH relativeFrom="column">
              <wp:posOffset>1720215</wp:posOffset>
            </wp:positionH>
            <wp:positionV relativeFrom="paragraph">
              <wp:posOffset>246380</wp:posOffset>
            </wp:positionV>
            <wp:extent cx="628015" cy="521335"/>
            <wp:effectExtent l="0" t="0" r="0" b="0"/>
            <wp:wrapNone/>
            <wp:docPr id="1" name="图片 1"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郭力"/>
                    <pic:cNvPicPr>
                      <a:picLocks noChangeAspect="1"/>
                    </pic:cNvPicPr>
                  </pic:nvPicPr>
                  <pic:blipFill>
                    <a:blip r:embed="rId6"/>
                    <a:stretch>
                      <a:fillRect/>
                    </a:stretch>
                  </pic:blipFill>
                  <pic:spPr>
                    <a:xfrm>
                      <a:off x="0" y="0"/>
                      <a:ext cx="628015" cy="521335"/>
                    </a:xfrm>
                    <a:prstGeom prst="rect">
                      <a:avLst/>
                    </a:prstGeom>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hint="eastAsia" w:ascii="宋体" w:eastAsia="宋体"/>
          <w:b/>
          <w:bCs/>
          <w:color w:val="000000"/>
          <w:sz w:val="26"/>
          <w:szCs w:val="26"/>
          <w:lang w:eastAsia="zh-CN"/>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hint="eastAsia" w:ascii="宋体" w:eastAsia="宋体"/>
          <w:b/>
          <w:color w:val="000000"/>
          <w:lang w:eastAsia="zh-CN"/>
        </w:rPr>
      </w:pPr>
      <w:r>
        <w:rPr>
          <w:rFonts w:hint="eastAsia" w:ascii="宋体" w:eastAsia="宋体"/>
          <w:b/>
          <w:color w:val="000000"/>
          <w:lang w:eastAsia="zh-CN"/>
        </w:rPr>
        <w:drawing>
          <wp:anchor distT="0" distB="0" distL="114300" distR="114300" simplePos="0" relativeHeight="251660288" behindDoc="1" locked="0" layoutInCell="1" allowOverlap="1">
            <wp:simplePos x="0" y="0"/>
            <wp:positionH relativeFrom="column">
              <wp:posOffset>1746250</wp:posOffset>
            </wp:positionH>
            <wp:positionV relativeFrom="paragraph">
              <wp:posOffset>62230</wp:posOffset>
            </wp:positionV>
            <wp:extent cx="793750" cy="381000"/>
            <wp:effectExtent l="0" t="0" r="6350" b="0"/>
            <wp:wrapNone/>
            <wp:docPr id="3" name="图片 3" descr="强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强兴"/>
                    <pic:cNvPicPr>
                      <a:picLocks noChangeAspect="1"/>
                    </pic:cNvPicPr>
                  </pic:nvPicPr>
                  <pic:blipFill>
                    <a:blip r:embed="rId7"/>
                    <a:stretch>
                      <a:fillRect/>
                    </a:stretch>
                  </pic:blipFill>
                  <pic:spPr>
                    <a:xfrm>
                      <a:off x="0" y="0"/>
                      <a:ext cx="793750" cy="381000"/>
                    </a:xfrm>
                    <a:prstGeom prst="rect">
                      <a:avLst/>
                    </a:prstGeom>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2021.4.16</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8E527D"/>
    <w:rsid w:val="0AEB7537"/>
    <w:rsid w:val="0C095DBC"/>
    <w:rsid w:val="215B2A69"/>
    <w:rsid w:val="2BBA6A9B"/>
    <w:rsid w:val="33032737"/>
    <w:rsid w:val="37961909"/>
    <w:rsid w:val="4C7E7069"/>
    <w:rsid w:val="54AD35CE"/>
    <w:rsid w:val="57D55A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rPr>
      <w:sz w:val="28"/>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5"/>
    <w:locked/>
    <w:uiPriority w:val="99"/>
    <w:rPr>
      <w:rFonts w:ascii="Calibri" w:hAnsi="Calibri" w:eastAsia="宋体" w:cs="Times New Roman"/>
      <w:sz w:val="18"/>
      <w:szCs w:val="18"/>
    </w:rPr>
  </w:style>
  <w:style w:type="character" w:customStyle="1" w:styleId="13">
    <w:name w:val="副标题 字符"/>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7</TotalTime>
  <ScaleCrop>false</ScaleCrop>
  <LinksUpToDate>false</LinksUpToDate>
  <CharactersWithSpaces>6844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郭力</cp:lastModifiedBy>
  <dcterms:modified xsi:type="dcterms:W3CDTF">2021-05-03T13:56:20Z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6DB7DF49A43C420D9F635F27791CB571</vt:lpwstr>
  </property>
</Properties>
</file>