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208770"/>
            <wp:effectExtent l="0" t="0" r="8890" b="11430"/>
            <wp:docPr id="4" name="图片 4" descr="b8930628a5b7602472e6520b617e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930628a5b7602472e6520b617ef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20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77940" cy="9236075"/>
            <wp:effectExtent l="0" t="0" r="10160" b="9525"/>
            <wp:docPr id="3" name="图片 3" descr="f0faf9eb42f13a0faca2c6cd9685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faf9eb42f13a0faca2c6cd96850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2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安徽天畅金属材料有限公司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提供不出节能管理方案。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提供不出节能管理方案。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方正仿宋简体"/>
                <w:b/>
                <w:lang w:val="en-US" w:eastAsia="zh-CN"/>
              </w:rPr>
              <w:t>制定节能管理方案。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ISO500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理解不深。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对相关人员进行培训，使其理解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ISO500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CE527B"/>
    <w:rsid w:val="2EF93C6B"/>
    <w:rsid w:val="5954403B"/>
    <w:rsid w:val="668A2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2021-04-18T07:41:04Z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75ECD2241CE342CDBDF05E1ED63C6498</vt:lpwstr>
  </property>
</Properties>
</file>