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Cs w:val="44"/>
        </w:rPr>
        <w:t>0319-2021-EnMS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r>
        <w:rPr>
          <w:rFonts w:hint="eastAsia"/>
          <w:sz w:val="28"/>
          <w:szCs w:val="28"/>
          <w:lang w:eastAsia="zh-CN"/>
        </w:rPr>
        <w:t>安徽天畅金属材料有限公司</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color w:val="000000"/>
                <w:szCs w:val="21"/>
                <w:lang w:eastAsia="zh-CN"/>
              </w:rPr>
              <w:t>安徽天畅金属材料有限公司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1" w:name="办公地址"/>
            <w:r>
              <w:rPr>
                <w:rFonts w:ascii="宋体" w:hAnsi="宋体"/>
                <w:b/>
                <w:color w:val="000000" w:themeColor="text1"/>
                <w:sz w:val="20"/>
                <w:szCs w:val="20"/>
                <w14:textFill>
                  <w14:solidFill>
                    <w14:schemeClr w14:val="tx1"/>
                  </w14:solidFill>
                </w14:textFill>
              </w:rPr>
              <w:t>安徽省阜阳市太和县肖口镇工业园</w:t>
            </w:r>
            <w:bookmarkEnd w:id="1"/>
          </w:p>
        </w:tc>
        <w:tc>
          <w:tcPr>
            <w:tcW w:w="933" w:type="dxa"/>
            <w:vMerge w:val="restart"/>
            <w:vAlign w:val="center"/>
          </w:tcPr>
          <w:p>
            <w:r>
              <w:rPr>
                <w:rFonts w:hint="eastAsia"/>
              </w:rPr>
              <w:t>邮编</w:t>
            </w:r>
          </w:p>
        </w:tc>
        <w:tc>
          <w:tcPr>
            <w:tcW w:w="2080" w:type="dxa"/>
          </w:tcPr>
          <w:p>
            <w:pPr>
              <w:rPr>
                <w:rFonts w:hint="default" w:eastAsia="宋体"/>
                <w:lang w:val="en-US" w:eastAsia="zh-CN"/>
              </w:rPr>
            </w:pPr>
            <w:bookmarkStart w:id="2" w:name="注册邮编"/>
            <w:r>
              <w:rPr>
                <w:rFonts w:ascii="宋体" w:hAnsi="宋体"/>
                <w:b/>
                <w:color w:val="000000" w:themeColor="text1"/>
                <w:spacing w:val="-20"/>
                <w:sz w:val="20"/>
                <w:szCs w:val="20"/>
                <w14:textFill>
                  <w14:solidFill>
                    <w14:schemeClr w14:val="tx1"/>
                  </w14:solidFill>
                </w14:textFill>
              </w:rPr>
              <w:t>236621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val="en-US" w:eastAsia="zh-CN"/>
              </w:rPr>
            </w:pPr>
            <w:r>
              <w:rPr>
                <w:rFonts w:hint="eastAsia"/>
                <w:lang w:val="en-US" w:eastAsia="zh-CN"/>
              </w:rPr>
              <w:t>生产</w:t>
            </w:r>
            <w:r>
              <w:rPr>
                <w:rFonts w:hint="eastAsia"/>
              </w:rPr>
              <w:t>地址</w:t>
            </w:r>
            <w:r>
              <w:rPr>
                <w:rFonts w:hint="eastAsia"/>
                <w:lang w:val="en-US" w:eastAsia="zh-CN"/>
              </w:rPr>
              <w:t>1</w:t>
            </w:r>
          </w:p>
        </w:tc>
        <w:tc>
          <w:tcPr>
            <w:tcW w:w="5045" w:type="dxa"/>
            <w:gridSpan w:val="3"/>
          </w:tcPr>
          <w:p>
            <w:r>
              <w:rPr>
                <w:rFonts w:ascii="宋体" w:hAnsi="宋体"/>
                <w:b/>
                <w:color w:val="000000" w:themeColor="text1"/>
                <w:sz w:val="20"/>
                <w:szCs w:val="20"/>
                <w14:textFill>
                  <w14:solidFill>
                    <w14:schemeClr w14:val="tx1"/>
                  </w14:solidFill>
                </w14:textFill>
              </w:rPr>
              <w:t>安徽省阜阳市太和县肖口镇工业园</w:t>
            </w:r>
          </w:p>
        </w:tc>
        <w:tc>
          <w:tcPr>
            <w:tcW w:w="933" w:type="dxa"/>
            <w:vMerge w:val="continue"/>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lang w:val="en-US" w:eastAsia="zh-CN"/>
              </w:rPr>
              <w:t>生产地址2</w:t>
            </w:r>
          </w:p>
        </w:tc>
        <w:tc>
          <w:tcPr>
            <w:tcW w:w="5045" w:type="dxa"/>
            <w:gridSpan w:val="3"/>
          </w:tcPr>
          <w:p>
            <w:pPr>
              <w:rPr>
                <w:sz w:val="21"/>
                <w:szCs w:val="21"/>
              </w:rPr>
            </w:pPr>
          </w:p>
        </w:tc>
        <w:tc>
          <w:tcPr>
            <w:tcW w:w="933" w:type="dxa"/>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lang w:eastAsia="zh-CN"/>
              </w:rPr>
              <w:t>王磊</w:t>
            </w:r>
          </w:p>
        </w:tc>
        <w:tc>
          <w:tcPr>
            <w:tcW w:w="1313" w:type="dxa"/>
            <w:vAlign w:val="center"/>
          </w:tcPr>
          <w:p>
            <w:r>
              <w:rPr>
                <w:rFonts w:hint="eastAsia"/>
              </w:rPr>
              <w:t>电话.</w:t>
            </w:r>
          </w:p>
        </w:tc>
        <w:tc>
          <w:tcPr>
            <w:tcW w:w="2180" w:type="dxa"/>
            <w:vAlign w:val="center"/>
          </w:tcPr>
          <w:p>
            <w:bookmarkStart w:id="3" w:name="联系人电话"/>
            <w:r>
              <w:rPr>
                <w:rFonts w:ascii="宋体" w:hAnsi="宋体"/>
                <w:b/>
                <w:color w:val="000000" w:themeColor="text1"/>
                <w:sz w:val="20"/>
                <w:szCs w:val="20"/>
                <w14:textFill>
                  <w14:solidFill>
                    <w14:schemeClr w14:val="tx1"/>
                  </w14:solidFill>
                </w14:textFill>
              </w:rPr>
              <w:t>15055857259</w:t>
            </w:r>
            <w:bookmarkEnd w:id="3"/>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bookmarkStart w:id="4" w:name="法人"/>
            <w:r>
              <w:rPr>
                <w:rFonts w:ascii="宋体" w:hAnsi="宋体"/>
                <w:b/>
                <w:color w:val="000000" w:themeColor="text1"/>
                <w:sz w:val="20"/>
                <w:szCs w:val="20"/>
                <w14:textFill>
                  <w14:solidFill>
                    <w14:schemeClr w14:val="tx1"/>
                  </w14:solidFill>
                </w14:textFill>
              </w:rPr>
              <w:t>关伟</w:t>
            </w:r>
            <w:bookmarkEnd w:id="4"/>
          </w:p>
        </w:tc>
        <w:tc>
          <w:tcPr>
            <w:tcW w:w="1313" w:type="dxa"/>
            <w:vAlign w:val="center"/>
          </w:tcPr>
          <w:p>
            <w:r>
              <w:rPr>
                <w:rFonts w:hint="eastAsia"/>
              </w:rPr>
              <w:t>管理者代表</w:t>
            </w:r>
          </w:p>
        </w:tc>
        <w:tc>
          <w:tcPr>
            <w:tcW w:w="2180" w:type="dxa"/>
          </w:tcPr>
          <w:p>
            <w:pPr>
              <w:rPr>
                <w:rFonts w:hint="eastAsia" w:eastAsia="宋体"/>
                <w:lang w:val="en-US" w:eastAsia="zh-CN"/>
              </w:rPr>
            </w:pPr>
          </w:p>
        </w:tc>
        <w:tc>
          <w:tcPr>
            <w:tcW w:w="933" w:type="dxa"/>
          </w:tcPr>
          <w:p>
            <w:r>
              <w:rPr>
                <w:rFonts w:hint="eastAsia"/>
              </w:rPr>
              <w:t>邮箱</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eastAsia="zh-CN"/>
              </w:rPr>
              <w:t>☑</w:t>
            </w:r>
            <w:r>
              <w:rPr>
                <w:rFonts w:hint="eastAsia"/>
                <w:lang w:val="en-US" w:eastAsia="zh-CN"/>
              </w:rPr>
              <w:t xml:space="preserve">是  </w:t>
            </w:r>
            <w:r>
              <w:rPr>
                <w:rFonts w:hint="eastAsia"/>
              </w:rPr>
              <w:t>□</w:t>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default" w:eastAsia="宋体"/>
                <w:lang w:val="en-US" w:eastAsia="zh-CN"/>
              </w:rPr>
            </w:pPr>
            <w:r>
              <w:rPr>
                <w:rFonts w:hint="eastAsia"/>
                <w:lang w:val="en-US" w:eastAsia="zh-CN"/>
              </w:rPr>
              <w:t>废旧电池拆解-分选-熔炼-还原-铅锭</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5" w:name="auDate"/>
            <w:bookmarkEnd w:id="5"/>
            <w:r>
              <w:rPr>
                <w:rFonts w:hint="eastAsia"/>
              </w:rPr>
              <w:t xml:space="preserve">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17</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18</w:t>
            </w:r>
            <w:r>
              <w:rPr>
                <w:rFonts w:hint="eastAsia"/>
              </w:rPr>
              <w:t xml:space="preserve">日 </w:t>
            </w:r>
            <w:r>
              <w:rPr>
                <w:rFonts w:hint="eastAsia"/>
                <w:lang w:val="en-US" w:eastAsia="zh-CN"/>
              </w:rPr>
              <w:t>17</w:t>
            </w:r>
            <w:r>
              <w:rPr>
                <w:rFonts w:hint="eastAsia"/>
              </w:rPr>
              <w:t>：</w:t>
            </w: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80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default"/>
                <w:lang w:val="en-US" w:eastAsia="zh-CN"/>
              </w:rPr>
            </w:pPr>
            <w:r>
              <w:rPr>
                <w:rFonts w:hint="eastAsia"/>
                <w:lang w:eastAsia="zh-CN"/>
              </w:rPr>
              <w:t>☑</w:t>
            </w:r>
            <w:r>
              <w:rPr>
                <w:rFonts w:hint="eastAsia"/>
                <w:lang w:val="en-US" w:eastAsia="zh-CN"/>
              </w:rPr>
              <w:t>行业要求：GB25323-2010再生铅单位产品能源消耗定额</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6" w:name="审核依据"/>
            <w:r>
              <w:rPr>
                <w:rFonts w:hint="eastAsia" w:ascii="宋体" w:hAnsi="宋体"/>
                <w:b/>
                <w:sz w:val="21"/>
                <w:szCs w:val="21"/>
                <w:lang w:val="en-US" w:eastAsia="zh-CN"/>
              </w:rPr>
              <w:t xml:space="preserve">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tabs>
                <w:tab w:val="center" w:pos="4153"/>
                <w:tab w:val="right" w:pos="8306"/>
              </w:tabs>
              <w:snapToGrid w:val="0"/>
              <w:spacing w:line="300" w:lineRule="auto"/>
              <w:ind w:left="146" w:leftChars="-45" w:hanging="240" w:hangingChars="100"/>
            </w:pPr>
            <w:r>
              <w:rPr>
                <w:rFonts w:hint="eastAsia" w:ascii="宋体" w:hAnsi="宋体" w:eastAsia="宋体" w:cs="宋体"/>
                <w:sz w:val="24"/>
                <w:szCs w:val="24"/>
              </w:rPr>
              <w:t>再生铅冶炼生产所涉及的能源采购、转换、输运及使用的相关管理活动</w:t>
            </w:r>
          </w:p>
        </w:tc>
        <w:tc>
          <w:tcPr>
            <w:tcW w:w="3268" w:type="dxa"/>
            <w:gridSpan w:val="2"/>
            <w:vAlign w:val="center"/>
          </w:tcPr>
          <w:p>
            <w:pPr>
              <w:rPr>
                <w:rFonts w:hint="default" w:eastAsia="宋体"/>
                <w:lang w:val="en-US" w:eastAsia="zh-CN"/>
              </w:rPr>
            </w:pPr>
            <w:r>
              <w:rPr>
                <w:rFonts w:hint="eastAsia"/>
                <w:lang w:val="en-US" w:eastAsia="zh-CN"/>
              </w:rPr>
              <w:t>En：2.2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color w:val="0000FF"/>
                <w:lang w:val="en-US" w:eastAsia="zh-CN"/>
              </w:rPr>
            </w:pPr>
            <w:r>
              <w:rPr>
                <w:rFonts w:hint="eastAsia"/>
              </w:rPr>
              <w:t xml:space="preserve"> </w:t>
            </w:r>
            <w:r>
              <w:rPr>
                <w:rFonts w:hint="eastAsia"/>
                <w:color w:val="0000FF"/>
              </w:rPr>
              <w:t xml:space="preserve"> </w:t>
            </w:r>
            <w:r>
              <w:rPr>
                <w:rFonts w:hint="eastAsia"/>
                <w:color w:val="0000FF"/>
                <w:lang w:val="en-US" w:eastAsia="zh-CN"/>
              </w:rPr>
              <w:t>2020</w:t>
            </w:r>
            <w:r>
              <w:rPr>
                <w:rFonts w:hint="eastAsia"/>
                <w:color w:val="0000FF"/>
              </w:rPr>
              <w:t xml:space="preserve">年 </w:t>
            </w:r>
            <w:r>
              <w:rPr>
                <w:rFonts w:hint="eastAsia"/>
                <w:color w:val="0000FF"/>
                <w:lang w:val="en-US" w:eastAsia="zh-CN"/>
              </w:rPr>
              <w:t>10</w:t>
            </w:r>
            <w:r>
              <w:rPr>
                <w:rFonts w:hint="eastAsia"/>
                <w:color w:val="0000FF"/>
              </w:rPr>
              <w:t>月</w:t>
            </w:r>
            <w:r>
              <w:rPr>
                <w:rFonts w:hint="eastAsia"/>
                <w:color w:val="0000FF"/>
                <w:lang w:val="en-US" w:eastAsia="zh-CN"/>
              </w:rPr>
              <w:t>1</w:t>
            </w:r>
            <w:r>
              <w:rPr>
                <w:rFonts w:hint="eastAsia"/>
                <w:color w:val="0000FF"/>
              </w:rPr>
              <w:t>日</w:t>
            </w:r>
            <w:r>
              <w:rPr>
                <w:rFonts w:hint="eastAsia"/>
                <w:color w:val="0000FF"/>
                <w:lang w:val="en-US" w:eastAsia="zh-CN"/>
              </w:rPr>
              <w:t>能源管理体系实施</w:t>
            </w:r>
            <w:bookmarkStart w:id="9" w:name="_GoBack"/>
            <w:bookmarkEnd w:id="9"/>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安徽天畅金属材料有限公司</w:t>
            </w:r>
            <w:r>
              <w:rPr>
                <w:rFonts w:hint="eastAsia"/>
                <w:b w:val="0"/>
                <w:bCs/>
                <w:sz w:val="21"/>
                <w:szCs w:val="21"/>
                <w:lang w:val="en-US" w:eastAsia="zh-CN"/>
              </w:rPr>
              <w:t>/</w:t>
            </w:r>
            <w:r>
              <w:rPr>
                <w:rFonts w:hint="eastAsia"/>
                <w:color w:val="000000"/>
                <w:szCs w:val="21"/>
                <w:u w:val="single"/>
                <w:lang w:val="en-US" w:eastAsia="zh-CN"/>
              </w:rPr>
              <w:t>安徽省阜阳市太和县肖口镇工业园区</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 xml:space="preserve">320     </w:t>
            </w:r>
          </w:p>
        </w:tc>
        <w:tc>
          <w:tcPr>
            <w:tcW w:w="2764" w:type="dxa"/>
            <w:vAlign w:val="center"/>
          </w:tcPr>
          <w:p>
            <w:pPr>
              <w:tabs>
                <w:tab w:val="center" w:pos="4153"/>
                <w:tab w:val="right" w:pos="8306"/>
              </w:tabs>
              <w:snapToGrid w:val="0"/>
              <w:spacing w:line="300" w:lineRule="auto"/>
              <w:ind w:left="116" w:leftChars="-45" w:hanging="210" w:hangingChars="100"/>
              <w:jc w:val="left"/>
              <w:rPr>
                <w:lang w:eastAsia="ja-JP"/>
              </w:rPr>
            </w:pPr>
            <w:r>
              <w:rPr>
                <w:color w:val="000000"/>
                <w:szCs w:val="21"/>
                <w:u w:val="single"/>
              </w:rPr>
              <w:t xml:space="preserve"> </w:t>
            </w:r>
            <w:bookmarkStart w:id="7" w:name="审核范围"/>
            <w:r>
              <w:rPr>
                <w:sz w:val="20"/>
                <w:u w:val="single"/>
              </w:rPr>
              <w:t>再生铅冶炼生产所涉及的能源采购、转换、输运及使用的相关管理活动。</w:t>
            </w:r>
            <w:bookmarkEnd w:id="7"/>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1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197" w:type="dxa"/>
            <w:vAlign w:val="center"/>
          </w:tcPr>
          <w:p>
            <w:r>
              <w:rPr>
                <w:rFonts w:hint="eastAsia"/>
              </w:rPr>
              <w:t>审核员注册证书号</w:t>
            </w:r>
          </w:p>
        </w:tc>
        <w:tc>
          <w:tcPr>
            <w:tcW w:w="185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napToGrid w:val="0"/>
              <w:spacing w:line="320" w:lineRule="exact"/>
              <w:ind w:firstLine="110" w:firstLineChars="50"/>
              <w:rPr>
                <w:rFonts w:hint="eastAsia" w:eastAsia="宋体"/>
                <w:lang w:val="en-US" w:eastAsia="zh-CN"/>
              </w:rPr>
            </w:pPr>
            <w:r>
              <w:rPr>
                <w:sz w:val="22"/>
                <w:szCs w:val="22"/>
                <w:highlight w:val="yellow"/>
              </w:rPr>
              <w:t>周涛</w:t>
            </w:r>
          </w:p>
        </w:tc>
        <w:tc>
          <w:tcPr>
            <w:tcW w:w="1089" w:type="dxa"/>
            <w:vAlign w:val="center"/>
          </w:tcPr>
          <w:p>
            <w:pPr>
              <w:snapToGrid w:val="0"/>
              <w:spacing w:line="320" w:lineRule="exact"/>
            </w:pPr>
            <w:r>
              <w:rPr>
                <w:sz w:val="22"/>
                <w:szCs w:val="22"/>
                <w:highlight w:val="none"/>
              </w:rPr>
              <w:t>组长</w:t>
            </w:r>
          </w:p>
        </w:tc>
        <w:tc>
          <w:tcPr>
            <w:tcW w:w="711" w:type="dxa"/>
            <w:vAlign w:val="center"/>
          </w:tcPr>
          <w:p>
            <w:pPr>
              <w:rPr>
                <w:rFonts w:hint="eastAsia" w:eastAsia="宋体"/>
                <w:lang w:val="en-US" w:eastAsia="zh-CN"/>
              </w:rPr>
            </w:pPr>
            <w:r>
              <w:rPr>
                <w:rFonts w:hint="eastAsia"/>
                <w:lang w:val="en-US" w:eastAsia="zh-CN"/>
              </w:rPr>
              <w:t>男</w:t>
            </w:r>
          </w:p>
        </w:tc>
        <w:tc>
          <w:tcPr>
            <w:tcW w:w="4197" w:type="dxa"/>
            <w:vAlign w:val="center"/>
          </w:tcPr>
          <w:p>
            <w:pPr>
              <w:snapToGrid w:val="0"/>
              <w:spacing w:line="320" w:lineRule="exact"/>
              <w:rPr>
                <w:rFonts w:hint="eastAsia"/>
              </w:rPr>
            </w:pPr>
            <w:r>
              <w:rPr>
                <w:sz w:val="22"/>
                <w:szCs w:val="22"/>
                <w:highlight w:val="yellow"/>
              </w:rPr>
              <w:t>2018-N1EnMS-1072033</w:t>
            </w:r>
          </w:p>
        </w:tc>
        <w:tc>
          <w:tcPr>
            <w:tcW w:w="1852" w:type="dxa"/>
            <w:vAlign w:val="center"/>
          </w:tcPr>
          <w:p>
            <w:pPr>
              <w:jc w:val="center"/>
              <w:rPr>
                <w:rFonts w:hint="default" w:eastAsia="宋体"/>
                <w:lang w:val="en-US" w:eastAsia="zh-CN"/>
              </w:rPr>
            </w:pPr>
            <w:r>
              <w:rPr>
                <w:rFonts w:hint="eastAsia"/>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napToGrid w:val="0"/>
              <w:spacing w:line="320" w:lineRule="exact"/>
              <w:ind w:firstLine="110" w:firstLineChars="50"/>
              <w:rPr>
                <w:rFonts w:hint="eastAsia"/>
                <w:lang w:val="en-US" w:eastAsia="zh-CN"/>
              </w:rPr>
            </w:pPr>
            <w:r>
              <w:rPr>
                <w:sz w:val="22"/>
                <w:szCs w:val="22"/>
                <w:highlight w:val="yellow"/>
              </w:rPr>
              <w:t>姜小清</w:t>
            </w:r>
          </w:p>
        </w:tc>
        <w:tc>
          <w:tcPr>
            <w:tcW w:w="1089" w:type="dxa"/>
            <w:vAlign w:val="center"/>
          </w:tcPr>
          <w:p>
            <w:pPr>
              <w:snapToGrid w:val="0"/>
              <w:spacing w:line="320" w:lineRule="exact"/>
              <w:rPr>
                <w:rFonts w:hint="eastAsia"/>
              </w:rPr>
            </w:pPr>
            <w:r>
              <w:rPr>
                <w:sz w:val="22"/>
                <w:szCs w:val="22"/>
                <w:highlight w:val="none"/>
              </w:rPr>
              <w:t>组员</w:t>
            </w:r>
          </w:p>
        </w:tc>
        <w:tc>
          <w:tcPr>
            <w:tcW w:w="711" w:type="dxa"/>
            <w:vAlign w:val="center"/>
          </w:tcPr>
          <w:p>
            <w:pPr>
              <w:rPr>
                <w:rFonts w:hint="default"/>
                <w:lang w:val="en-US" w:eastAsia="zh-CN"/>
              </w:rPr>
            </w:pPr>
            <w:r>
              <w:rPr>
                <w:rFonts w:hint="eastAsia"/>
                <w:lang w:val="en-US" w:eastAsia="zh-CN"/>
              </w:rPr>
              <w:t>男</w:t>
            </w:r>
          </w:p>
        </w:tc>
        <w:tc>
          <w:tcPr>
            <w:tcW w:w="4197" w:type="dxa"/>
            <w:vAlign w:val="center"/>
          </w:tcPr>
          <w:p>
            <w:pPr>
              <w:snapToGrid w:val="0"/>
              <w:spacing w:line="320" w:lineRule="exact"/>
              <w:rPr>
                <w:rFonts w:hint="eastAsia"/>
              </w:rPr>
            </w:pPr>
            <w:r>
              <w:rPr>
                <w:sz w:val="22"/>
                <w:szCs w:val="22"/>
                <w:highlight w:val="yellow"/>
              </w:rPr>
              <w:t>2018-N1EnMS-1201919</w:t>
            </w:r>
          </w:p>
        </w:tc>
        <w:tc>
          <w:tcPr>
            <w:tcW w:w="1852" w:type="dxa"/>
            <w:vAlign w:val="center"/>
          </w:tcPr>
          <w:p>
            <w:pPr>
              <w:jc w:val="center"/>
              <w:rPr>
                <w:sz w:val="20"/>
              </w:rPr>
            </w:pP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增加一个固定多场所；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rPr>
                <w:rFonts w:hint="default" w:eastAsia="宋体"/>
                <w:lang w:val="en-US" w:eastAsia="zh-CN"/>
              </w:rPr>
            </w:pPr>
            <w:r>
              <w:rPr>
                <w:rFonts w:hint="eastAsia"/>
                <w:lang w:val="en-US" w:eastAsia="zh-CN"/>
              </w:rPr>
              <w:t>2021.4.18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Pr>
        <w:pStyle w:val="3"/>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综合能耗</w:t>
                  </w:r>
                </w:p>
              </w:tc>
              <w:tc>
                <w:tcPr>
                  <w:tcW w:w="257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 xml:space="preserve">建筑面积  </w:t>
            </w:r>
            <w:r>
              <w:rPr>
                <w:rFonts w:hint="eastAsia"/>
                <w:highlight w:val="none"/>
                <w:lang w:val="en-US" w:eastAsia="zh-CN"/>
              </w:rPr>
              <w:t>3.18</w:t>
            </w:r>
            <w:r>
              <w:rPr>
                <w:rFonts w:hint="eastAsia"/>
                <w:highlight w:val="none"/>
              </w:rPr>
              <w:t xml:space="preserve"> </w:t>
            </w:r>
            <w:r>
              <w:rPr>
                <w:rFonts w:hint="eastAsia"/>
                <w:highlight w:val="none"/>
                <w:lang w:val="en-US" w:eastAsia="zh-CN"/>
              </w:rPr>
              <w:t>万</w:t>
            </w:r>
            <w:r>
              <w:rPr>
                <w:rFonts w:hint="eastAsia"/>
                <w:highlight w:val="none"/>
              </w:rPr>
              <w:t xml:space="preserve"> 平方米；生产车间 </w:t>
            </w:r>
            <w:r>
              <w:rPr>
                <w:rFonts w:hint="eastAsia"/>
                <w:highlight w:val="none"/>
                <w:lang w:val="en-US" w:eastAsia="zh-CN"/>
              </w:rPr>
              <w:t>4</w:t>
            </w:r>
            <w:r>
              <w:rPr>
                <w:rFonts w:hint="eastAsia"/>
                <w:highlight w:val="none"/>
              </w:rPr>
              <w:t xml:space="preserve"> 个；库房 </w:t>
            </w:r>
            <w:r>
              <w:rPr>
                <w:rFonts w:hint="eastAsia"/>
                <w:highlight w:val="none"/>
                <w:lang w:val="en-US" w:eastAsia="zh-CN"/>
              </w:rPr>
              <w:t xml:space="preserve">4 </w:t>
            </w:r>
            <w:r>
              <w:rPr>
                <w:rFonts w:hint="eastAsia"/>
                <w:highlight w:val="none"/>
              </w:rPr>
              <w:t>个</w:t>
            </w:r>
            <w:r>
              <w:rPr>
                <w:rFonts w:hint="eastAsia"/>
                <w:highlight w:val="none"/>
                <w:lang w:eastAsia="zh-CN"/>
              </w:rPr>
              <w:t>（</w:t>
            </w:r>
            <w:r>
              <w:rPr>
                <w:rFonts w:hint="eastAsia"/>
                <w:highlight w:val="none"/>
                <w:lang w:val="en-US" w:eastAsia="zh-CN"/>
              </w:rPr>
              <w:t>原料库1；危废库1个；一般固废库2个，</w:t>
            </w:r>
            <w:r>
              <w:rPr>
                <w:rFonts w:hint="eastAsia"/>
                <w:highlight w:val="none"/>
                <w:lang w:eastAsia="zh-CN"/>
              </w:rPr>
              <w:t>）</w:t>
            </w:r>
            <w:r>
              <w:rPr>
                <w:rFonts w:hint="eastAsia"/>
                <w:highlight w:val="none"/>
              </w:rPr>
              <w:t xml:space="preserve">；实验室 </w:t>
            </w:r>
            <w:r>
              <w:rPr>
                <w:rFonts w:hint="eastAsia"/>
                <w:highlight w:val="none"/>
                <w:lang w:val="en-US" w:eastAsia="zh-CN"/>
              </w:rPr>
              <w:t>1</w:t>
            </w:r>
            <w:r>
              <w:rPr>
                <w:rFonts w:hint="eastAsia"/>
                <w:highlight w:val="none"/>
              </w:rPr>
              <w:t xml:space="preserve"> 个；</w:t>
            </w:r>
          </w:p>
          <w:p>
            <w:pPr>
              <w:shd w:val="clear" w:color="auto" w:fill="EBF1DE" w:themeFill="accent3" w:themeFillTint="32"/>
              <w:rPr>
                <w:rFonts w:hint="eastAsia"/>
                <w:highlight w:val="none"/>
              </w:rPr>
            </w:pPr>
            <w:r>
              <w:rPr>
                <w:rFonts w:hint="eastAsia"/>
                <w:highlight w:val="none"/>
              </w:rPr>
              <w:t>主要生产设备有：</w:t>
            </w:r>
            <w:r>
              <w:rPr>
                <w:rFonts w:hint="eastAsia"/>
                <w:highlight w:val="none"/>
                <w:lang w:val="en-US" w:eastAsia="zh-CN"/>
              </w:rPr>
              <w:t>拆解机、熔炼炉、精炼炉、电解系统</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主要耗能设备有：</w:t>
            </w:r>
            <w:r>
              <w:rPr>
                <w:rFonts w:hint="eastAsia"/>
                <w:highlight w:val="none"/>
                <w:lang w:val="en-US" w:eastAsia="zh-CN"/>
              </w:rPr>
              <w:t>拆解机、熔炼炉、精炼炉、电解系统</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FE"/>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FE"/>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天然气流量计、电力表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lang w:val="en-US" w:eastAsia="zh-CN"/>
              </w:rPr>
              <w:t>电量表由国家电网安徽省电力公司阜阳供电公司负责，天然气由阜阳国祯燃气有限公司负责，煤炭由本公司的地磅负责计量，地磅有检定证书，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已经开具不符合项报告</w:t>
            </w:r>
            <w:r>
              <w:rPr>
                <w:rFonts w:hint="eastAsia"/>
                <w:highlight w:val="none"/>
                <w:u w:val="single"/>
                <w:lang w:eastAsia="zh-CN"/>
              </w:rPr>
              <w:t>）</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煤炭</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加强计量管理，加强煤炭用量管理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天然气</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加强天然气的燃烧的管理；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color w:val="000000" w:themeColor="text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组织</w:t>
            </w:r>
            <w:r>
              <w:rPr>
                <w:rFonts w:hint="eastAsia"/>
                <w:color w:val="000000" w:themeColor="text1"/>
                <w:highlight w:val="none"/>
                <w:lang w:val="en-GB"/>
                <w14:textFill>
                  <w14:solidFill>
                    <w14:schemeClr w14:val="tx1"/>
                  </w14:solidFill>
                </w14:textFill>
              </w:rPr>
              <w:t>已经制定了信息</w:t>
            </w:r>
            <w:r>
              <w:rPr>
                <w:rFonts w:hint="eastAsia"/>
                <w:color w:val="000000" w:themeColor="text1"/>
                <w:highlight w:val="none"/>
                <w14:textFill>
                  <w14:solidFill>
                    <w14:schemeClr w14:val="tx1"/>
                  </w14:solidFill>
                </w14:textFill>
              </w:rPr>
              <w:t>的收集、</w:t>
            </w:r>
            <w:r>
              <w:rPr>
                <w:rFonts w:hint="eastAsia"/>
                <w:color w:val="000000" w:themeColor="text1"/>
                <w:highlight w:val="none"/>
                <w:lang w:val="en-GB"/>
                <w14:textFill>
                  <w14:solidFill>
                    <w14:schemeClr w14:val="tx1"/>
                  </w14:solidFill>
                </w14:textFill>
              </w:rPr>
              <w:t>数据分析、改进方法相关的程序，并生效。</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组织已分析和评价通过监视和测量获得的适当的数据和信息。</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组织已建立、实施并保持评价其合规义务履行情况所需的过程。</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实施合规性评价的时间：</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FE"/>
            </w:r>
            <w:r>
              <w:rPr>
                <w:rFonts w:hint="eastAsia"/>
                <w:color w:val="000000" w:themeColor="text1"/>
                <w:highlight w:val="none"/>
                <w14:textFill>
                  <w14:solidFill>
                    <w14:schemeClr w14:val="tx1"/>
                  </w14:solidFill>
                </w14:textFill>
              </w:rPr>
              <w:t>定期（每年）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2020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11</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特殊情况（法规变化）：</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highlight w:val="none"/>
              </w:rPr>
            </w:pPr>
            <w:r>
              <w:rPr>
                <w:rFonts w:hint="eastAsia"/>
                <w:color w:val="000000" w:themeColor="text1"/>
                <w:highlight w:val="none"/>
                <w14:textFill>
                  <w14:solidFill>
                    <w14:schemeClr w14:val="tx1"/>
                  </w14:solidFill>
                </w14:textFill>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none"/>
        </w:rPr>
      </w:pPr>
    </w:p>
    <w:p>
      <w:pPr>
        <w:pStyle w:val="2"/>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8"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7B3113"/>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C8792A"/>
    <w:rsid w:val="282D2075"/>
    <w:rsid w:val="287D37C7"/>
    <w:rsid w:val="294B2CEA"/>
    <w:rsid w:val="298266E7"/>
    <w:rsid w:val="298E75E3"/>
    <w:rsid w:val="29A5000B"/>
    <w:rsid w:val="2A351B1D"/>
    <w:rsid w:val="2A4B433E"/>
    <w:rsid w:val="2ABD43D7"/>
    <w:rsid w:val="2B59267F"/>
    <w:rsid w:val="2C9C5862"/>
    <w:rsid w:val="2CAF7268"/>
    <w:rsid w:val="2CD15CF9"/>
    <w:rsid w:val="2CDC1CAC"/>
    <w:rsid w:val="2CE76A45"/>
    <w:rsid w:val="2D312279"/>
    <w:rsid w:val="2D8F5297"/>
    <w:rsid w:val="2D9D2412"/>
    <w:rsid w:val="2DBB15EE"/>
    <w:rsid w:val="2E096CEE"/>
    <w:rsid w:val="2E690C8B"/>
    <w:rsid w:val="2EBA64CC"/>
    <w:rsid w:val="2EF93BE5"/>
    <w:rsid w:val="2EFC2199"/>
    <w:rsid w:val="2F4E7DF1"/>
    <w:rsid w:val="2F691172"/>
    <w:rsid w:val="2F8C189E"/>
    <w:rsid w:val="315D2087"/>
    <w:rsid w:val="315D3D19"/>
    <w:rsid w:val="321A535A"/>
    <w:rsid w:val="33217059"/>
    <w:rsid w:val="33762162"/>
    <w:rsid w:val="3433543C"/>
    <w:rsid w:val="359F3DC7"/>
    <w:rsid w:val="36966F0E"/>
    <w:rsid w:val="37130289"/>
    <w:rsid w:val="37741396"/>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3F86D39"/>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C8978AB"/>
    <w:rsid w:val="4DE97690"/>
    <w:rsid w:val="4E0062C7"/>
    <w:rsid w:val="4E462A11"/>
    <w:rsid w:val="4F676896"/>
    <w:rsid w:val="4FB009AF"/>
    <w:rsid w:val="50164862"/>
    <w:rsid w:val="504B3A24"/>
    <w:rsid w:val="515133D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25C2B78"/>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BDC6BC4"/>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4485068"/>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5</TotalTime>
  <ScaleCrop>false</ScaleCrop>
  <LinksUpToDate>false</LinksUpToDate>
  <CharactersWithSpaces>31559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2021-04-23T09:18:29Z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18B948C73040449E8F32FFD29FBEFFB5</vt:lpwstr>
  </property>
</Properties>
</file>