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hint="default" w:eastAsia="宋体"/>
          <w:b/>
          <w:sz w:val="22"/>
          <w:szCs w:val="22"/>
          <w:lang w:val="en-US" w:eastAsia="zh-CN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  <w:r>
        <w:rPr>
          <w:rFonts w:hint="eastAsia"/>
          <w:b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sz w:val="22"/>
          <w:szCs w:val="22"/>
          <w:lang w:eastAsia="zh-CN"/>
        </w:rPr>
        <w:t>■</w:t>
      </w:r>
      <w:r>
        <w:rPr>
          <w:rFonts w:hint="eastAsia"/>
          <w:b/>
          <w:sz w:val="22"/>
          <w:szCs w:val="22"/>
        </w:rPr>
        <w:t>E</w:t>
      </w:r>
      <w:r>
        <w:rPr>
          <w:rFonts w:hint="eastAsia"/>
          <w:b/>
          <w:sz w:val="22"/>
          <w:szCs w:val="22"/>
          <w:lang w:val="en-US" w:eastAsia="zh-CN"/>
        </w:rPr>
        <w:t>n</w:t>
      </w:r>
      <w:r>
        <w:rPr>
          <w:rFonts w:hint="eastAsia"/>
          <w:b/>
          <w:sz w:val="22"/>
          <w:szCs w:val="22"/>
        </w:rPr>
        <w:t>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21"/>
        <w:gridCol w:w="1309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安徽天畅金属材料有限公司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2.2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姜小清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2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2.2</w:t>
            </w:r>
          </w:p>
        </w:tc>
        <w:tc>
          <w:tcPr>
            <w:tcW w:w="13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废旧电池破碎-分选-脱硫铅膏-熔炼炉-粗铅-电解精炼-产品铅（精铅</w:t>
            </w:r>
            <w:bookmarkStart w:id="5" w:name="_GoBack"/>
            <w:bookmarkEnd w:id="5"/>
            <w:r>
              <w:rPr>
                <w:rFonts w:hint="eastAsia"/>
                <w:b/>
                <w:sz w:val="20"/>
                <w:lang w:val="en-US" w:eastAsia="zh-CN"/>
              </w:rPr>
              <w:t>）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工艺过程消耗的能源种类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color w:val="auto"/>
              </w:rPr>
              <w:t>能源消费种类煤、电力、天然气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主要的耗能设备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①富氧侧吹熔炼炉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②富氧侧吹还原炉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③熔炼炉一、二次风供风无油空气压缩机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④熔炼炉二次风供风风机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⑤还原炉二次风供风风机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⑥熔炼炉电收尘器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⑦富氧侧吹熔炼炉排烟风机</w:t>
            </w:r>
          </w:p>
          <w:p>
            <w:pPr>
              <w:spacing w:line="240" w:lineRule="auto"/>
              <w:jc w:val="left"/>
              <w:rPr>
                <w:rFonts w:ascii="宋体" w:hAnsi="宋体"/>
                <w:color w:val="auto"/>
                <w:szCs w:val="28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⑧还原炉布袋除尘器</w:t>
            </w:r>
          </w:p>
          <w:p>
            <w:pPr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color w:val="auto"/>
                <w:szCs w:val="28"/>
              </w:rPr>
              <w:t>⑨富氧侧吹还原炉排烟风机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国家限额</w:t>
            </w:r>
          </w:p>
        </w:tc>
        <w:tc>
          <w:tcPr>
            <w:tcW w:w="8424" w:type="dxa"/>
            <w:gridSpan w:val="6"/>
            <w:vAlign w:val="center"/>
          </w:tcPr>
          <w:tbl>
            <w:tblPr>
              <w:tblStyle w:val="7"/>
              <w:tblpPr w:leftFromText="180" w:rightFromText="180" w:vertAnchor="text" w:horzAnchor="page" w:tblpX="249" w:tblpY="295"/>
              <w:tblOverlap w:val="never"/>
              <w:tblW w:w="721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58"/>
              <w:gridCol w:w="1621"/>
              <w:gridCol w:w="1025"/>
              <w:gridCol w:w="942"/>
              <w:gridCol w:w="870"/>
              <w:gridCol w:w="1243"/>
              <w:gridCol w:w="85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6" w:hRule="atLeast"/>
              </w:trPr>
              <w:tc>
                <w:tcPr>
                  <w:tcW w:w="2279" w:type="dxa"/>
                  <w:gridSpan w:val="2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工艺、工序</w:t>
                  </w:r>
                </w:p>
              </w:tc>
              <w:tc>
                <w:tcPr>
                  <w:tcW w:w="102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用电折算量（kg）</w:t>
                  </w:r>
                </w:p>
              </w:tc>
              <w:tc>
                <w:tcPr>
                  <w:tcW w:w="94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天然气折算量（kg）</w:t>
                  </w:r>
                </w:p>
              </w:tc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用煤量（kg）</w:t>
                  </w:r>
                </w:p>
              </w:tc>
              <w:tc>
                <w:tcPr>
                  <w:tcW w:w="124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实际能耗计算值</w:t>
                  </w:r>
                </w:p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（kgce/t）</w:t>
                  </w:r>
                </w:p>
              </w:tc>
              <w:tc>
                <w:tcPr>
                  <w:tcW w:w="85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color w:val="FF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sz w:val="21"/>
                      <w:szCs w:val="21"/>
                      <w:vertAlign w:val="baseline"/>
                      <w:lang w:val="en-US" w:eastAsia="zh-CN"/>
                    </w:rPr>
                    <w:t>能耗限额准入值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1" w:hRule="atLeast"/>
              </w:trPr>
              <w:tc>
                <w:tcPr>
                  <w:tcW w:w="658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废电池-再生铅</w:t>
                  </w:r>
                </w:p>
              </w:tc>
              <w:tc>
                <w:tcPr>
                  <w:tcW w:w="162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废电池-再生铅工艺</w:t>
                  </w:r>
                </w:p>
              </w:tc>
              <w:tc>
                <w:tcPr>
                  <w:tcW w:w="102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439830</w:t>
                  </w:r>
                </w:p>
              </w:tc>
              <w:tc>
                <w:tcPr>
                  <w:tcW w:w="94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438900</w:t>
                  </w:r>
                </w:p>
              </w:tc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5005500</w:t>
                  </w:r>
                </w:p>
              </w:tc>
              <w:tc>
                <w:tcPr>
                  <w:tcW w:w="124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129.96</w:t>
                  </w:r>
                </w:p>
              </w:tc>
              <w:tc>
                <w:tcPr>
                  <w:tcW w:w="85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color w:val="FF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sz w:val="21"/>
                      <w:szCs w:val="21"/>
                      <w:vertAlign w:val="baseline"/>
                      <w:lang w:val="en-US" w:eastAsia="zh-CN"/>
                    </w:rPr>
                    <w:t>≤130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1" w:hRule="atLeast"/>
              </w:trPr>
              <w:tc>
                <w:tcPr>
                  <w:tcW w:w="658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2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废电池破碎工序</w:t>
                  </w:r>
                </w:p>
              </w:tc>
              <w:tc>
                <w:tcPr>
                  <w:tcW w:w="1025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132510</w:t>
                  </w:r>
                </w:p>
              </w:tc>
              <w:tc>
                <w:tcPr>
                  <w:tcW w:w="942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70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3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2.9</w:t>
                  </w:r>
                </w:p>
              </w:tc>
              <w:tc>
                <w:tcPr>
                  <w:tcW w:w="85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color w:val="FF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sz w:val="21"/>
                      <w:szCs w:val="21"/>
                      <w:vertAlign w:val="baseline"/>
                      <w:lang w:val="en-US" w:eastAsia="zh-CN"/>
                    </w:rPr>
                    <w:t>≤3.5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658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62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铅膏脱硫工序</w:t>
                  </w:r>
                </w:p>
              </w:tc>
              <w:tc>
                <w:tcPr>
                  <w:tcW w:w="1025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42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70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3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5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FF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sz w:val="21"/>
                      <w:szCs w:val="21"/>
                      <w:vertAlign w:val="baseline"/>
                      <w:lang w:val="en-US" w:eastAsia="zh-CN"/>
                    </w:rPr>
                    <w:t>≤1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658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2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铅膏冶炼工序</w:t>
                  </w:r>
                </w:p>
              </w:tc>
              <w:tc>
                <w:tcPr>
                  <w:tcW w:w="1025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264040</w:t>
                  </w:r>
                </w:p>
              </w:tc>
              <w:tc>
                <w:tcPr>
                  <w:tcW w:w="942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Times New Roman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372400</w:t>
                  </w:r>
                </w:p>
              </w:tc>
              <w:tc>
                <w:tcPr>
                  <w:tcW w:w="870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5005500</w:t>
                  </w:r>
                </w:p>
              </w:tc>
              <w:tc>
                <w:tcPr>
                  <w:tcW w:w="1243" w:type="dxa"/>
                  <w:vMerge w:val="restart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124.61</w:t>
                  </w:r>
                </w:p>
              </w:tc>
              <w:tc>
                <w:tcPr>
                  <w:tcW w:w="85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color w:val="FF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sz w:val="21"/>
                      <w:szCs w:val="21"/>
                      <w:vertAlign w:val="baseline"/>
                      <w:lang w:val="en-US" w:eastAsia="zh-CN"/>
                    </w:rPr>
                    <w:t>≤280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2" w:hRule="atLeast"/>
              </w:trPr>
              <w:tc>
                <w:tcPr>
                  <w:tcW w:w="658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62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铅屑冶炼工序</w:t>
                  </w:r>
                </w:p>
              </w:tc>
              <w:tc>
                <w:tcPr>
                  <w:tcW w:w="1025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942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70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3" w:type="dxa"/>
                  <w:vMerge w:val="continue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5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color w:val="FF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sz w:val="21"/>
                      <w:szCs w:val="21"/>
                      <w:vertAlign w:val="baseline"/>
                      <w:lang w:val="en-US" w:eastAsia="zh-CN"/>
                    </w:rPr>
                    <w:t>≤35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1" w:hRule="atLeast"/>
              </w:trPr>
              <w:tc>
                <w:tcPr>
                  <w:tcW w:w="65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621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金属态铅废料-再生铅工序</w:t>
                  </w:r>
                </w:p>
              </w:tc>
              <w:tc>
                <w:tcPr>
                  <w:tcW w:w="1025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43280</w:t>
                  </w:r>
                </w:p>
              </w:tc>
              <w:tc>
                <w:tcPr>
                  <w:tcW w:w="942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 w:ascii="Calibri" w:hAnsi="Calibri" w:eastAsia="宋体" w:cs="Times New Roman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66500</w:t>
                  </w:r>
                </w:p>
              </w:tc>
              <w:tc>
                <w:tcPr>
                  <w:tcW w:w="870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3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2.4</w:t>
                  </w:r>
                </w:p>
              </w:tc>
              <w:tc>
                <w:tcPr>
                  <w:tcW w:w="85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color w:val="FF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sz w:val="21"/>
                      <w:szCs w:val="21"/>
                      <w:vertAlign w:val="baseline"/>
                      <w:lang w:val="en-US" w:eastAsia="zh-CN"/>
                    </w:rPr>
                    <w:t>≤20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8" w:hRule="atLeast"/>
              </w:trPr>
              <w:tc>
                <w:tcPr>
                  <w:tcW w:w="65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vertAlign w:val="baseline"/>
                      <w:lang w:val="en-US" w:eastAsia="zh-CN"/>
                    </w:rPr>
                    <w:t>产品数量</w:t>
                  </w:r>
                </w:p>
              </w:tc>
              <w:tc>
                <w:tcPr>
                  <w:tcW w:w="6559" w:type="dxa"/>
                  <w:gridSpan w:val="6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/>
                      <w:color w:val="FF000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vertAlign w:val="baseline"/>
                      <w:lang w:val="en-US" w:eastAsia="zh-CN"/>
                    </w:rPr>
                    <w:t xml:space="preserve">45277吨 </w:t>
                  </w:r>
                </w:p>
              </w:tc>
            </w:tr>
          </w:tbl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《中华人民共和国节约能源法》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《企业能源评审技术通则》（GB/T17166）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《节能监测技术通则》（GB/T15316）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《综合能耗计算通则》（GB/T 2589 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《企业能耗计量与测试导则》（GB/T6422）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《企业节能量计算方法》（GB/T13234）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《工业企业能源管理导则》（GB/T15587）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《用能单位能源计量器具配备与管理通则》 (GB/T17167)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《评价企业合理用电技术导则》（GB/T3485）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《能源管理体系要求及使用指南》 (ISO50001:2018)</w:t>
            </w:r>
          </w:p>
          <w:p>
            <w:pPr>
              <w:spacing w:line="360" w:lineRule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《中华人民共和国节约能源法》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《中华人民共和国可再生能源法》</w:t>
            </w:r>
          </w:p>
          <w:p>
            <w:pPr>
              <w:spacing w:line="360" w:lineRule="auto"/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1"/>
                <w:szCs w:val="21"/>
                <w:lang w:val="en-US" w:eastAsia="zh-CN"/>
              </w:rPr>
              <w:t>《高耗能设备淘汰名录》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lang w:val="en-US" w:eastAsia="zh-CN"/>
              </w:rPr>
              <w:t>《GB25323-2010再生铅单位产品能源消耗限额》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周涛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2021.4.15</w:t>
      </w:r>
      <w:r>
        <w:rPr>
          <w:rFonts w:hint="eastAsia" w:ascii="宋体"/>
          <w:b/>
          <w:sz w:val="22"/>
          <w:szCs w:val="22"/>
        </w:rPr>
        <w:t xml:space="preserve">   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周涛</w:t>
      </w:r>
      <w:r>
        <w:rPr>
          <w:rFonts w:hint="eastAsia" w:ascii="宋体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2021.4.15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3D7F84"/>
    <w:rsid w:val="5D2C49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rFonts w:eastAsia="华文细黑"/>
      <w:sz w:val="24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2</TotalTime>
  <ScaleCrop>false</ScaleCrop>
  <LinksUpToDate>false</LinksUpToDate>
  <CharactersWithSpaces>292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2021-04-17T02:41:53Z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FB8AFB6999A344D2AC3A41629F6B134B</vt:lpwstr>
  </property>
</Properties>
</file>