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13"/>
        <w:gridCol w:w="1129"/>
        <w:gridCol w:w="75"/>
        <w:gridCol w:w="101"/>
        <w:gridCol w:w="589"/>
        <w:gridCol w:w="261"/>
        <w:gridCol w:w="95"/>
        <w:gridCol w:w="16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安徽天畅金属材料有限公司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安徽省阜阳市太和县肖口镇工业园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王磊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15055857259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236621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15055857259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0319-2021-EnMS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 w:eastAsia="宋体" w:cs="宋体"/>
                <w:spacing w:val="-2"/>
                <w:sz w:val="20"/>
              </w:rPr>
              <w:t>■</w:t>
            </w:r>
            <w:r>
              <w:rPr>
                <w:spacing w:val="-2"/>
                <w:sz w:val="20"/>
              </w:rPr>
              <w:t>E</w:t>
            </w:r>
            <w:r>
              <w:rPr>
                <w:rFonts w:hint="eastAsia"/>
                <w:spacing w:val="-2"/>
                <w:sz w:val="20"/>
                <w:lang w:val="en-US" w:eastAsia="zh-CN"/>
              </w:rPr>
              <w:t>n</w:t>
            </w:r>
            <w:r>
              <w:rPr>
                <w:spacing w:val="-2"/>
                <w:sz w:val="20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能源管理体系：初次认证第（二）阶段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88" w:leftChars="-45" w:hanging="196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再生铅冶炼生产所涉及的能源采购、转换、输运及使用的相关管理活动。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ind w:firstLine="400" w:firstLineChars="200"/>
              <w:rPr>
                <w:sz w:val="20"/>
              </w:rPr>
            </w:pPr>
            <w:bookmarkStart w:id="14" w:name="专业代码"/>
            <w:r>
              <w:rPr>
                <w:rFonts w:hint="eastAsia"/>
                <w:sz w:val="20"/>
                <w:lang w:val="en-US" w:eastAsia="zh-CN"/>
              </w:rPr>
              <w:t>En：</w:t>
            </w:r>
            <w:r>
              <w:rPr>
                <w:sz w:val="20"/>
              </w:rPr>
              <w:t>2.2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ISO50001:2018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2021年04月17日 上午至2021年04月18日 下午 (共2.0天)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093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239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2250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65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周涛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093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2239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2.2</w:t>
            </w:r>
          </w:p>
        </w:tc>
        <w:tc>
          <w:tcPr>
            <w:tcW w:w="2250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13863734938</w:t>
            </w:r>
          </w:p>
        </w:tc>
        <w:tc>
          <w:tcPr>
            <w:tcW w:w="165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ISC-72033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姜小清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093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2239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250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13801208638</w:t>
            </w:r>
          </w:p>
        </w:tc>
        <w:tc>
          <w:tcPr>
            <w:tcW w:w="165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ISC-201919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 xml:space="preserve">     周  涛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 xml:space="preserve">     李永忠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ind w:firstLine="200" w:firstLineChars="100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13863734938</w:t>
            </w: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ind w:firstLine="400" w:firstLineChars="200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2021.4.16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ind w:firstLine="400" w:firstLineChars="200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2021.4.16</w:t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/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940"/>
        <w:gridCol w:w="7211"/>
        <w:gridCol w:w="12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" w:hRule="atLeast"/>
          <w:jc w:val="center"/>
        </w:trPr>
        <w:tc>
          <w:tcPr>
            <w:tcW w:w="96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7211" w:type="dxa"/>
            <w:vAlign w:val="center"/>
          </w:tcPr>
          <w:p>
            <w:pPr>
              <w:snapToGrid w:val="0"/>
              <w:spacing w:line="280" w:lineRule="exact"/>
              <w:ind w:firstLine="2741" w:firstLineChars="1300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377" w:type="dxa"/>
            <w:gridSpan w:val="4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2021年4月17日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96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8:00-</w:t>
            </w:r>
          </w:p>
          <w:p>
            <w:pPr>
              <w:snapToGrid w:val="0"/>
              <w:spacing w:line="320" w:lineRule="exact"/>
              <w:jc w:val="both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8:30</w:t>
            </w:r>
          </w:p>
        </w:tc>
        <w:tc>
          <w:tcPr>
            <w:tcW w:w="94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7211" w:type="dxa"/>
            <w:vAlign w:val="center"/>
          </w:tcPr>
          <w:p>
            <w:pPr>
              <w:spacing w:line="300" w:lineRule="exact"/>
              <w:ind w:firstLine="2951" w:firstLineChars="1400"/>
              <w:jc w:val="both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首次会议</w:t>
            </w:r>
          </w:p>
        </w:tc>
        <w:tc>
          <w:tcPr>
            <w:tcW w:w="125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ISC-72033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/>
                <w:sz w:val="20"/>
                <w:lang w:val="en-US" w:eastAsia="zh-CN"/>
              </w:rPr>
            </w:pPr>
            <w:r>
              <w:rPr>
                <w:sz w:val="20"/>
              </w:rPr>
              <w:t>ISC-201919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2" w:hRule="atLeast"/>
          <w:jc w:val="center"/>
        </w:trPr>
        <w:tc>
          <w:tcPr>
            <w:tcW w:w="969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jc w:val="both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8:30-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12:00</w:t>
            </w:r>
          </w:p>
        </w:tc>
        <w:tc>
          <w:tcPr>
            <w:tcW w:w="940" w:type="dxa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管理层</w:t>
            </w:r>
          </w:p>
        </w:tc>
        <w:tc>
          <w:tcPr>
            <w:tcW w:w="7211" w:type="dxa"/>
          </w:tcPr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4.1 理解组织及其所处的环境、4.2理解相关方的需求和期望、4.3 确定能源管理体系的范围、4.4 能源管理体系、5.1 领导作用和承诺、5.2 能源方针、5.3 组织的岗位、职责和权限、6.1 应对风险和机遇的措施、7.1 资源、9.3 管理评审、10.2 持续改进</w:t>
            </w:r>
            <w:r>
              <w:rPr>
                <w:rFonts w:hint="eastAsia" w:ascii="宋体" w:hAnsi="宋体"/>
                <w:szCs w:val="21"/>
                <w:lang w:eastAsia="zh-CN"/>
              </w:rPr>
              <w:t>。</w:t>
            </w:r>
          </w:p>
        </w:tc>
        <w:tc>
          <w:tcPr>
            <w:tcW w:w="1257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ISC-201919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  <w:jc w:val="center"/>
        </w:trPr>
        <w:tc>
          <w:tcPr>
            <w:tcW w:w="96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40" w:type="dxa"/>
            <w:vAlign w:val="center"/>
          </w:tcPr>
          <w:p>
            <w:pPr>
              <w:spacing w:line="300" w:lineRule="exact"/>
              <w:jc w:val="both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采购部</w:t>
            </w:r>
          </w:p>
        </w:tc>
        <w:tc>
          <w:tcPr>
            <w:tcW w:w="7211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5.3 组织的岗位、职责和权限、6.2 目标、能源指及其实现的策划、8.1 运行的策划和控制、8.3采购</w:t>
            </w:r>
            <w:r>
              <w:rPr>
                <w:rFonts w:hint="eastAsia" w:ascii="宋体" w:hAnsi="宋体"/>
                <w:szCs w:val="21"/>
                <w:lang w:eastAsia="zh-CN"/>
              </w:rPr>
              <w:t>；</w:t>
            </w:r>
          </w:p>
        </w:tc>
        <w:tc>
          <w:tcPr>
            <w:tcW w:w="125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sz w:val="20"/>
              </w:rPr>
              <w:t>ISC-72033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3" w:hRule="atLeast"/>
          <w:jc w:val="center"/>
        </w:trPr>
        <w:tc>
          <w:tcPr>
            <w:tcW w:w="969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13:00-</w:t>
            </w:r>
          </w:p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17:00</w:t>
            </w:r>
          </w:p>
        </w:tc>
        <w:tc>
          <w:tcPr>
            <w:tcW w:w="94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pacing w:line="30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综合部</w:t>
            </w:r>
          </w:p>
        </w:tc>
        <w:tc>
          <w:tcPr>
            <w:tcW w:w="7211" w:type="dxa"/>
            <w:vAlign w:val="top"/>
          </w:tcPr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5.3 组织的岗位、职责和权限</w:t>
            </w:r>
            <w:r>
              <w:rPr>
                <w:rFonts w:hint="eastAsia" w:ascii="宋体" w:hAnsi="宋体"/>
                <w:szCs w:val="21"/>
                <w:u w:val="none"/>
              </w:rPr>
              <w:t>、6.2 目标、能源指及其实现的策划、7.2 能力、7.3 意识、</w:t>
            </w:r>
            <w:r>
              <w:rPr>
                <w:rFonts w:hint="eastAsia" w:ascii="宋体" w:hAnsi="宋体"/>
                <w:szCs w:val="21"/>
                <w:u w:val="none"/>
                <w:lang w:val="en-US" w:eastAsia="zh-CN"/>
              </w:rPr>
              <w:t>7.4沟通交流、</w:t>
            </w:r>
            <w:r>
              <w:rPr>
                <w:rFonts w:hint="eastAsia" w:ascii="宋体" w:hAnsi="宋体"/>
                <w:szCs w:val="21"/>
                <w:u w:val="none"/>
              </w:rPr>
              <w:t>7.5 文件化信息</w:t>
            </w:r>
            <w:r>
              <w:rPr>
                <w:rFonts w:hint="eastAsia" w:ascii="宋体" w:hAnsi="宋体"/>
                <w:szCs w:val="21"/>
              </w:rPr>
              <w:t>、9.1.2 法律法规要求和其他要求的合规性评价、9.2 内部审核、10.1 不符合与纠正措施、10.2 持续改进</w:t>
            </w:r>
          </w:p>
        </w:tc>
        <w:tc>
          <w:tcPr>
            <w:tcW w:w="1257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/>
                <w:sz w:val="20"/>
                <w:lang w:val="en-US" w:eastAsia="zh-CN"/>
              </w:rPr>
            </w:pPr>
            <w:r>
              <w:rPr>
                <w:sz w:val="20"/>
              </w:rPr>
              <w:t>ISC-201919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2" w:hRule="atLeast"/>
          <w:jc w:val="center"/>
        </w:trPr>
        <w:tc>
          <w:tcPr>
            <w:tcW w:w="96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40" w:type="dxa"/>
            <w:vAlign w:val="top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pacing w:line="30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生产部</w:t>
            </w:r>
          </w:p>
        </w:tc>
        <w:tc>
          <w:tcPr>
            <w:tcW w:w="7211" w:type="dxa"/>
            <w:vAlign w:val="top"/>
          </w:tcPr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5.3 组织的岗位、职责和权限、6.2 目标、能源指及其实现的策划、6.3 能源评审、6.4 能源绩效参数、6.5 能源基准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6.6 采集能源数据的策划、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7.4沟通交流、</w:t>
            </w:r>
            <w:r>
              <w:rPr>
                <w:rFonts w:hint="eastAsia" w:ascii="宋体" w:hAnsi="宋体"/>
                <w:szCs w:val="21"/>
              </w:rPr>
              <w:t>8.1 运行的策划和控制、10.2 持续改进</w:t>
            </w:r>
          </w:p>
        </w:tc>
        <w:tc>
          <w:tcPr>
            <w:tcW w:w="1257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sz w:val="20"/>
              </w:rPr>
              <w:t>ISC-72033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0377" w:type="dxa"/>
            <w:gridSpan w:val="4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snapToGrid w:val="0"/>
              <w:spacing w:line="320" w:lineRule="exact"/>
              <w:ind w:firstLine="4216" w:firstLineChars="2000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2021年4月18日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jc w:val="center"/>
        </w:trPr>
        <w:tc>
          <w:tcPr>
            <w:tcW w:w="969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jc w:val="lef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lef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lef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8:00-</w:t>
            </w:r>
          </w:p>
          <w:p>
            <w:pPr>
              <w:snapToGrid w:val="0"/>
              <w:spacing w:line="320" w:lineRule="exact"/>
              <w:jc w:val="lef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12：00</w:t>
            </w:r>
          </w:p>
        </w:tc>
        <w:tc>
          <w:tcPr>
            <w:tcW w:w="94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财务部</w:t>
            </w:r>
          </w:p>
        </w:tc>
        <w:tc>
          <w:tcPr>
            <w:tcW w:w="7211" w:type="dxa"/>
          </w:tcPr>
          <w:p>
            <w:pPr>
              <w:spacing w:line="300" w:lineRule="exac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5.3 组织的岗位、职责和权限、6.2 目标、能源指及其实现的策划、8.1 运行的策划和控制</w:t>
            </w:r>
            <w:r>
              <w:rPr>
                <w:rFonts w:hint="eastAsia" w:ascii="宋体" w:hAnsi="宋体"/>
                <w:szCs w:val="21"/>
                <w:lang w:eastAsia="zh-CN"/>
              </w:rPr>
              <w:t>；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</w:t>
            </w:r>
          </w:p>
        </w:tc>
        <w:tc>
          <w:tcPr>
            <w:tcW w:w="125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0"/>
              </w:rPr>
              <w:t>ISC-201919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jc w:val="center"/>
        </w:trPr>
        <w:tc>
          <w:tcPr>
            <w:tcW w:w="96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jc w:val="lef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40" w:type="dxa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pacing w:line="30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bookmarkStart w:id="17" w:name="_GoBack"/>
            <w:bookmarkEnd w:id="17"/>
          </w:p>
        </w:tc>
        <w:tc>
          <w:tcPr>
            <w:tcW w:w="7211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u w:val="none"/>
                <w:lang w:val="en-US" w:eastAsia="zh-CN"/>
              </w:rPr>
              <w:t>补充审核</w:t>
            </w:r>
          </w:p>
        </w:tc>
        <w:tc>
          <w:tcPr>
            <w:tcW w:w="1257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snapToGrid w:val="0"/>
              <w:spacing w:line="320" w:lineRule="exact"/>
              <w:rPr>
                <w:sz w:val="20"/>
              </w:rPr>
            </w:pPr>
            <w:r>
              <w:rPr>
                <w:sz w:val="20"/>
              </w:rPr>
              <w:t>ISC-72033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969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jc w:val="lef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lef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13:00-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16:00</w:t>
            </w:r>
          </w:p>
        </w:tc>
        <w:tc>
          <w:tcPr>
            <w:tcW w:w="94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7211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补充审核</w:t>
            </w:r>
          </w:p>
        </w:tc>
        <w:tc>
          <w:tcPr>
            <w:tcW w:w="125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ISC-201919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6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4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研发部</w:t>
            </w:r>
          </w:p>
        </w:tc>
        <w:tc>
          <w:tcPr>
            <w:tcW w:w="7211" w:type="dxa"/>
          </w:tcPr>
          <w:p>
            <w:pPr>
              <w:spacing w:line="300" w:lineRule="exact"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5.3 组织的岗位、职责和权限、6.2 目标、能源指及其实现的策划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7.4沟通交流</w:t>
            </w:r>
            <w:r>
              <w:rPr>
                <w:rFonts w:hint="eastAsia" w:ascii="宋体" w:hAnsi="宋体"/>
                <w:szCs w:val="21"/>
              </w:rPr>
              <w:t>、8.1 运行的策划和控制、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8.2设计  </w:t>
            </w:r>
          </w:p>
        </w:tc>
        <w:tc>
          <w:tcPr>
            <w:tcW w:w="125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ISC-72033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6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jc w:val="lef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16:00-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16:30</w:t>
            </w:r>
          </w:p>
        </w:tc>
        <w:tc>
          <w:tcPr>
            <w:tcW w:w="94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7211" w:type="dxa"/>
            <w:vAlign w:val="center"/>
          </w:tcPr>
          <w:p>
            <w:pPr>
              <w:spacing w:line="300" w:lineRule="exact"/>
              <w:ind w:firstLine="1200" w:firstLineChars="500"/>
              <w:jc w:val="both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审核组会议、与企业领导沟通交流</w:t>
            </w:r>
          </w:p>
        </w:tc>
        <w:tc>
          <w:tcPr>
            <w:tcW w:w="1257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sz w:val="20"/>
              </w:rPr>
            </w:pPr>
            <w:r>
              <w:rPr>
                <w:sz w:val="20"/>
              </w:rPr>
              <w:t>ISC-201919</w:t>
            </w:r>
          </w:p>
          <w:p>
            <w:pPr>
              <w:snapToGrid w:val="0"/>
              <w:spacing w:line="320" w:lineRule="exact"/>
              <w:rPr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sz w:val="20"/>
              </w:rPr>
              <w:t>ISC-72033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96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jc w:val="lef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16：30-</w:t>
            </w:r>
          </w:p>
          <w:p>
            <w:pPr>
              <w:snapToGrid w:val="0"/>
              <w:spacing w:line="320" w:lineRule="exact"/>
              <w:jc w:val="lef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17：00</w:t>
            </w:r>
          </w:p>
        </w:tc>
        <w:tc>
          <w:tcPr>
            <w:tcW w:w="94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7211" w:type="dxa"/>
          </w:tcPr>
          <w:p>
            <w:pPr>
              <w:spacing w:line="300" w:lineRule="exac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         </w:t>
            </w:r>
          </w:p>
          <w:p>
            <w:pPr>
              <w:spacing w:line="300" w:lineRule="exact"/>
              <w:ind w:firstLine="2880" w:firstLineChars="120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末次会议</w:t>
            </w:r>
          </w:p>
        </w:tc>
        <w:tc>
          <w:tcPr>
            <w:tcW w:w="1257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sz w:val="20"/>
              </w:rPr>
            </w:pPr>
            <w:r>
              <w:rPr>
                <w:sz w:val="20"/>
              </w:rPr>
              <w:t>ISC-201919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sz w:val="20"/>
              </w:rPr>
              <w:t>ISC-72033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7A72349"/>
    <w:rsid w:val="3F632073"/>
    <w:rsid w:val="51753F28"/>
    <w:rsid w:val="5ED51F18"/>
    <w:rsid w:val="6D160733"/>
    <w:rsid w:val="7E5521E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0</TotalTime>
  <ScaleCrop>false</ScaleCrop>
  <LinksUpToDate>false</LinksUpToDate>
  <CharactersWithSpaces>1266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Lenovo</cp:lastModifiedBy>
  <dcterms:modified xsi:type="dcterms:W3CDTF">2021-04-24T01:29:43Z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F91EDF5EC7EF47C4A691B39F5CEEA6AF</vt:lpwstr>
  </property>
</Properties>
</file>